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68C" w:rsidRDefault="00B0268C">
      <w:pPr>
        <w:pStyle w:val="BodyText"/>
        <w:rPr>
          <w:sz w:val="20"/>
        </w:rPr>
      </w:pPr>
    </w:p>
    <w:p w:rsidR="00B0268C" w:rsidRDefault="00B0268C">
      <w:pPr>
        <w:pStyle w:val="BodyText"/>
        <w:rPr>
          <w:sz w:val="20"/>
        </w:rPr>
      </w:pPr>
    </w:p>
    <w:p w:rsidR="00B0268C" w:rsidRDefault="00B0268C">
      <w:pPr>
        <w:pStyle w:val="BodyText"/>
        <w:rPr>
          <w:sz w:val="20"/>
        </w:rPr>
      </w:pPr>
    </w:p>
    <w:p w:rsidR="00B0268C" w:rsidRDefault="00B0268C">
      <w:pPr>
        <w:pStyle w:val="BodyText"/>
        <w:rPr>
          <w:sz w:val="20"/>
        </w:rPr>
      </w:pPr>
    </w:p>
    <w:p w:rsidR="00B0268C" w:rsidRDefault="00B0268C">
      <w:pPr>
        <w:pStyle w:val="BodyText"/>
        <w:rPr>
          <w:sz w:val="20"/>
        </w:rPr>
      </w:pPr>
    </w:p>
    <w:p w:rsidR="00B0268C" w:rsidRDefault="00B0268C">
      <w:pPr>
        <w:pStyle w:val="BodyText"/>
        <w:spacing w:before="9"/>
        <w:rPr>
          <w:sz w:val="19"/>
        </w:rPr>
      </w:pPr>
    </w:p>
    <w:p w:rsidR="00B0268C" w:rsidRDefault="00C408FB">
      <w:pPr>
        <w:spacing w:before="87" w:line="360" w:lineRule="auto"/>
        <w:ind w:left="258" w:right="256"/>
        <w:jc w:val="center"/>
        <w:rPr>
          <w:rFonts w:ascii="Arial"/>
          <w:b/>
          <w:sz w:val="40"/>
        </w:rPr>
      </w:pPr>
      <w:r>
        <w:rPr>
          <w:rFonts w:ascii="Arial"/>
          <w:b/>
          <w:sz w:val="40"/>
        </w:rPr>
        <w:t xml:space="preserve">A Multicentre Phase III Double-masked Randomised Controlled Non-Inferiority Trial comparing the clinical and cost </w:t>
      </w:r>
      <w:proofErr w:type="spellStart"/>
      <w:r>
        <w:rPr>
          <w:rFonts w:ascii="Arial"/>
          <w:b/>
          <w:sz w:val="40"/>
        </w:rPr>
        <w:t>effictiveness</w:t>
      </w:r>
      <w:proofErr w:type="spellEnd"/>
      <w:r>
        <w:rPr>
          <w:rFonts w:ascii="Arial"/>
          <w:b/>
          <w:sz w:val="40"/>
        </w:rPr>
        <w:t xml:space="preserve"> of intravitreal therapy with </w:t>
      </w:r>
      <w:proofErr w:type="spellStart"/>
      <w:r>
        <w:rPr>
          <w:rFonts w:ascii="Arial"/>
          <w:b/>
          <w:sz w:val="40"/>
        </w:rPr>
        <w:t>ranibizumab</w:t>
      </w:r>
      <w:proofErr w:type="spellEnd"/>
      <w:r>
        <w:rPr>
          <w:rFonts w:ascii="Arial"/>
          <w:b/>
          <w:sz w:val="40"/>
        </w:rPr>
        <w:t xml:space="preserve"> (</w:t>
      </w:r>
      <w:proofErr w:type="spellStart"/>
      <w:r>
        <w:rPr>
          <w:rFonts w:ascii="Arial"/>
          <w:b/>
          <w:sz w:val="40"/>
        </w:rPr>
        <w:t>Lucentis</w:t>
      </w:r>
      <w:proofErr w:type="spellEnd"/>
      <w:r>
        <w:rPr>
          <w:rFonts w:ascii="Arial"/>
          <w:b/>
          <w:sz w:val="40"/>
        </w:rPr>
        <w:t xml:space="preserve">) vs </w:t>
      </w:r>
      <w:proofErr w:type="spellStart"/>
      <w:r>
        <w:rPr>
          <w:rFonts w:ascii="Arial"/>
          <w:b/>
          <w:sz w:val="40"/>
        </w:rPr>
        <w:t>aflibercept</w:t>
      </w:r>
      <w:proofErr w:type="spellEnd"/>
      <w:r>
        <w:rPr>
          <w:rFonts w:ascii="Arial"/>
          <w:b/>
          <w:sz w:val="40"/>
        </w:rPr>
        <w:t xml:space="preserve"> (</w:t>
      </w:r>
      <w:proofErr w:type="spellStart"/>
      <w:r>
        <w:rPr>
          <w:rFonts w:ascii="Arial"/>
          <w:b/>
          <w:sz w:val="40"/>
        </w:rPr>
        <w:t>Eylea</w:t>
      </w:r>
      <w:proofErr w:type="spellEnd"/>
      <w:r>
        <w:rPr>
          <w:rFonts w:ascii="Arial"/>
          <w:b/>
          <w:sz w:val="40"/>
        </w:rPr>
        <w:t>) vs bevacizumab (</w:t>
      </w:r>
      <w:proofErr w:type="spellStart"/>
      <w:r>
        <w:rPr>
          <w:rFonts w:ascii="Arial"/>
          <w:b/>
          <w:sz w:val="40"/>
        </w:rPr>
        <w:t>Avastin</w:t>
      </w:r>
      <w:proofErr w:type="spellEnd"/>
      <w:r>
        <w:rPr>
          <w:rFonts w:ascii="Arial"/>
          <w:b/>
          <w:sz w:val="40"/>
        </w:rPr>
        <w:t>) for Macular Oedema due to Central Retinal Vein Occlusion (CRVO)</w:t>
      </w:r>
    </w:p>
    <w:p w:rsidR="00B0268C" w:rsidRDefault="00B0268C">
      <w:pPr>
        <w:pStyle w:val="BodyText"/>
        <w:rPr>
          <w:rFonts w:ascii="Arial"/>
          <w:b/>
          <w:sz w:val="44"/>
        </w:rPr>
      </w:pPr>
    </w:p>
    <w:p w:rsidR="00B0268C" w:rsidRDefault="00B0268C">
      <w:pPr>
        <w:pStyle w:val="BodyText"/>
        <w:rPr>
          <w:rFonts w:ascii="Arial"/>
          <w:b/>
          <w:sz w:val="44"/>
        </w:rPr>
      </w:pPr>
    </w:p>
    <w:p w:rsidR="00B0268C" w:rsidRDefault="00C408FB">
      <w:pPr>
        <w:spacing w:before="368" w:line="360" w:lineRule="auto"/>
        <w:ind w:left="2481" w:right="2476"/>
        <w:jc w:val="center"/>
        <w:rPr>
          <w:rFonts w:ascii="Arial"/>
          <w:sz w:val="40"/>
        </w:rPr>
      </w:pPr>
      <w:r>
        <w:rPr>
          <w:rFonts w:ascii="Arial"/>
          <w:sz w:val="40"/>
        </w:rPr>
        <w:t>Statistical Analysis Plan Version 5.4</w:t>
      </w:r>
    </w:p>
    <w:p w:rsidR="00B0268C" w:rsidRDefault="00B0268C">
      <w:pPr>
        <w:pStyle w:val="BodyText"/>
        <w:spacing w:before="2"/>
        <w:rPr>
          <w:rFonts w:ascii="Arial"/>
          <w:sz w:val="60"/>
        </w:rPr>
      </w:pPr>
    </w:p>
    <w:p w:rsidR="00B0268C" w:rsidRDefault="00C408FB">
      <w:pPr>
        <w:ind w:left="258" w:right="256"/>
        <w:jc w:val="center"/>
        <w:rPr>
          <w:rFonts w:ascii="Arial"/>
          <w:sz w:val="28"/>
        </w:rPr>
      </w:pPr>
      <w:r>
        <w:rPr>
          <w:rFonts w:ascii="Arial"/>
          <w:sz w:val="28"/>
        </w:rPr>
        <w:t>EudraCT no: 2014-000272-26</w:t>
      </w:r>
    </w:p>
    <w:p w:rsidR="00B0268C" w:rsidRDefault="00C408FB">
      <w:pPr>
        <w:spacing w:before="160"/>
        <w:ind w:left="256" w:right="256"/>
        <w:jc w:val="center"/>
        <w:rPr>
          <w:rFonts w:ascii="Arial"/>
          <w:sz w:val="28"/>
        </w:rPr>
      </w:pPr>
      <w:r>
        <w:rPr>
          <w:rFonts w:ascii="Arial"/>
          <w:sz w:val="28"/>
        </w:rPr>
        <w:t>ISCRN: 13623634</w:t>
      </w:r>
    </w:p>
    <w:p w:rsidR="00B0268C" w:rsidRDefault="00B0268C">
      <w:pPr>
        <w:jc w:val="center"/>
        <w:rPr>
          <w:rFonts w:ascii="Arial"/>
          <w:sz w:val="28"/>
        </w:rPr>
        <w:sectPr w:rsidR="00B0268C">
          <w:headerReference w:type="default" r:id="rId8"/>
          <w:footerReference w:type="default" r:id="rId9"/>
          <w:type w:val="continuous"/>
          <w:pgSz w:w="11910" w:h="16840"/>
          <w:pgMar w:top="1040" w:right="1360" w:bottom="1640" w:left="1360" w:header="712" w:footer="1457" w:gutter="0"/>
          <w:pgNumType w:start="1"/>
          <w:cols w:space="720"/>
        </w:sectPr>
      </w:pPr>
    </w:p>
    <w:p w:rsidR="00B0268C" w:rsidRDefault="00C408FB">
      <w:pPr>
        <w:pStyle w:val="Heading2"/>
        <w:spacing w:before="83"/>
        <w:ind w:left="114" w:firstLine="0"/>
      </w:pPr>
      <w:r>
        <w:lastRenderedPageBreak/>
        <w:t>CONTENTS</w:t>
      </w:r>
    </w:p>
    <w:p w:rsidR="00B0268C" w:rsidRDefault="00B0268C">
      <w:pPr>
        <w:sectPr w:rsidR="00B0268C">
          <w:pgSz w:w="11910" w:h="16840"/>
          <w:pgMar w:top="1040" w:right="1360" w:bottom="1864" w:left="1360" w:header="712" w:footer="1457" w:gutter="0"/>
          <w:cols w:space="720"/>
        </w:sectPr>
      </w:pPr>
    </w:p>
    <w:sdt>
      <w:sdtPr>
        <w:id w:val="-2095841220"/>
        <w:docPartObj>
          <w:docPartGallery w:val="Table of Contents"/>
          <w:docPartUnique/>
        </w:docPartObj>
      </w:sdtPr>
      <w:sdtContent>
        <w:p w:rsidR="00B0268C" w:rsidRDefault="00C408FB">
          <w:pPr>
            <w:pStyle w:val="TOC1"/>
            <w:numPr>
              <w:ilvl w:val="1"/>
              <w:numId w:val="42"/>
            </w:numPr>
            <w:tabs>
              <w:tab w:val="left" w:pos="517"/>
              <w:tab w:val="left" w:leader="dot" w:pos="8277"/>
            </w:tabs>
            <w:spacing w:before="589"/>
            <w:jc w:val="left"/>
          </w:pPr>
          <w:hyperlink w:anchor="_bookmark0" w:history="1">
            <w:r>
              <w:t>Introduction</w:t>
            </w:r>
            <w:r>
              <w:tab/>
              <w:t>8</w:t>
            </w:r>
          </w:hyperlink>
        </w:p>
        <w:p w:rsidR="00B0268C" w:rsidRDefault="00C408FB">
          <w:pPr>
            <w:pStyle w:val="TOC2"/>
            <w:numPr>
              <w:ilvl w:val="1"/>
              <w:numId w:val="42"/>
            </w:numPr>
            <w:tabs>
              <w:tab w:val="left" w:pos="757"/>
              <w:tab w:val="left" w:leader="dot" w:pos="8277"/>
            </w:tabs>
            <w:spacing w:before="100"/>
            <w:ind w:left="756"/>
            <w:jc w:val="left"/>
          </w:pPr>
          <w:hyperlink w:anchor="_bookmark1" w:history="1">
            <w:r>
              <w:t>Derivation of the statistical</w:t>
            </w:r>
            <w:r>
              <w:rPr>
                <w:spacing w:val="-8"/>
              </w:rPr>
              <w:t xml:space="preserve"> </w:t>
            </w:r>
            <w:r>
              <w:t>analysis</w:t>
            </w:r>
            <w:r>
              <w:rPr>
                <w:spacing w:val="-2"/>
              </w:rPr>
              <w:t xml:space="preserve"> </w:t>
            </w:r>
            <w:r>
              <w:t>plan</w:t>
            </w:r>
            <w:r>
              <w:tab/>
              <w:t>8</w:t>
            </w:r>
          </w:hyperlink>
        </w:p>
        <w:p w:rsidR="00B0268C" w:rsidRDefault="00C408FB">
          <w:pPr>
            <w:pStyle w:val="TOC2"/>
            <w:numPr>
              <w:ilvl w:val="1"/>
              <w:numId w:val="42"/>
            </w:numPr>
            <w:tabs>
              <w:tab w:val="left" w:pos="757"/>
              <w:tab w:val="left" w:leader="dot" w:pos="8277"/>
            </w:tabs>
            <w:ind w:left="756"/>
            <w:jc w:val="left"/>
          </w:pPr>
          <w:hyperlink w:anchor="_bookmark2" w:history="1">
            <w:r>
              <w:t>Purpose and scope of the statistical</w:t>
            </w:r>
            <w:r>
              <w:rPr>
                <w:spacing w:val="-14"/>
              </w:rPr>
              <w:t xml:space="preserve"> </w:t>
            </w:r>
            <w:r>
              <w:t>analysis</w:t>
            </w:r>
            <w:r>
              <w:rPr>
                <w:spacing w:val="-1"/>
              </w:rPr>
              <w:t xml:space="preserve"> </w:t>
            </w:r>
            <w:r>
              <w:t>plan</w:t>
            </w:r>
            <w:r>
              <w:tab/>
              <w:t>8</w:t>
            </w:r>
          </w:hyperlink>
        </w:p>
        <w:p w:rsidR="00B0268C" w:rsidRDefault="00C408FB">
          <w:pPr>
            <w:pStyle w:val="TOC1"/>
            <w:numPr>
              <w:ilvl w:val="1"/>
              <w:numId w:val="41"/>
            </w:numPr>
            <w:tabs>
              <w:tab w:val="left" w:pos="517"/>
              <w:tab w:val="left" w:leader="dot" w:pos="8277"/>
            </w:tabs>
            <w:spacing w:before="99"/>
            <w:jc w:val="left"/>
          </w:pPr>
          <w:hyperlink w:anchor="_bookmark3" w:history="1">
            <w:r>
              <w:t>Overview of the condition</w:t>
            </w:r>
            <w:r>
              <w:rPr>
                <w:spacing w:val="-3"/>
              </w:rPr>
              <w:t xml:space="preserve"> </w:t>
            </w:r>
            <w:r>
              <w:t>and</w:t>
            </w:r>
            <w:r>
              <w:rPr>
                <w:spacing w:val="-2"/>
              </w:rPr>
              <w:t xml:space="preserve"> </w:t>
            </w:r>
            <w:r>
              <w:t>treatment</w:t>
            </w:r>
            <w:r>
              <w:tab/>
              <w:t>9</w:t>
            </w:r>
          </w:hyperlink>
        </w:p>
        <w:p w:rsidR="00B0268C" w:rsidRDefault="00C408FB">
          <w:pPr>
            <w:pStyle w:val="TOC2"/>
            <w:numPr>
              <w:ilvl w:val="1"/>
              <w:numId w:val="41"/>
            </w:numPr>
            <w:tabs>
              <w:tab w:val="left" w:pos="757"/>
              <w:tab w:val="left" w:leader="dot" w:pos="8277"/>
            </w:tabs>
            <w:ind w:left="756"/>
            <w:jc w:val="left"/>
          </w:pPr>
          <w:hyperlink w:anchor="_bookmark4" w:history="1">
            <w:r>
              <w:t>Description of the condition and</w:t>
            </w:r>
            <w:r>
              <w:rPr>
                <w:spacing w:val="-8"/>
              </w:rPr>
              <w:t xml:space="preserve"> </w:t>
            </w:r>
            <w:r>
              <w:t>its</w:t>
            </w:r>
            <w:r>
              <w:rPr>
                <w:spacing w:val="-2"/>
              </w:rPr>
              <w:t xml:space="preserve"> </w:t>
            </w:r>
            <w:r>
              <w:t>importance/scale</w:t>
            </w:r>
            <w:r>
              <w:tab/>
              <w:t>9</w:t>
            </w:r>
          </w:hyperlink>
        </w:p>
        <w:p w:rsidR="00B0268C" w:rsidRDefault="00C408FB">
          <w:pPr>
            <w:pStyle w:val="TOC2"/>
            <w:numPr>
              <w:ilvl w:val="1"/>
              <w:numId w:val="41"/>
            </w:numPr>
            <w:tabs>
              <w:tab w:val="left" w:pos="757"/>
            </w:tabs>
            <w:spacing w:before="100"/>
            <w:ind w:left="756"/>
            <w:jc w:val="left"/>
          </w:pPr>
          <w:hyperlink w:anchor="_bookmark5" w:history="1">
            <w:r>
              <w:t>Description of the standard treatment (or placebo or current care)</w:t>
            </w:r>
            <w:r>
              <w:rPr>
                <w:spacing w:val="-37"/>
              </w:rPr>
              <w:t xml:space="preserve"> </w:t>
            </w:r>
            <w:r>
              <w:t>9</w:t>
            </w:r>
          </w:hyperlink>
        </w:p>
        <w:p w:rsidR="00B0268C" w:rsidRDefault="00C408FB">
          <w:pPr>
            <w:pStyle w:val="TOC2"/>
            <w:numPr>
              <w:ilvl w:val="1"/>
              <w:numId w:val="41"/>
            </w:numPr>
            <w:tabs>
              <w:tab w:val="left" w:pos="757"/>
              <w:tab w:val="left" w:leader="dot" w:pos="8277"/>
            </w:tabs>
            <w:spacing w:before="99"/>
            <w:ind w:left="756"/>
            <w:jc w:val="left"/>
          </w:pPr>
          <w:hyperlink w:anchor="_bookmark6" w:history="1">
            <w:r>
              <w:t>Description of the</w:t>
            </w:r>
            <w:r>
              <w:rPr>
                <w:spacing w:val="-7"/>
              </w:rPr>
              <w:t xml:space="preserve"> </w:t>
            </w:r>
            <w:r>
              <w:t>investigational</w:t>
            </w:r>
            <w:r>
              <w:rPr>
                <w:spacing w:val="-1"/>
              </w:rPr>
              <w:t xml:space="preserve"> </w:t>
            </w:r>
            <w:r>
              <w:t>treatments</w:t>
            </w:r>
            <w:r>
              <w:tab/>
              <w:t>9</w:t>
            </w:r>
          </w:hyperlink>
        </w:p>
        <w:p w:rsidR="00B0268C" w:rsidRDefault="00C408FB">
          <w:pPr>
            <w:pStyle w:val="TOC2"/>
            <w:numPr>
              <w:ilvl w:val="1"/>
              <w:numId w:val="41"/>
            </w:numPr>
            <w:tabs>
              <w:tab w:val="left" w:pos="757"/>
              <w:tab w:val="left" w:leader="dot" w:pos="8145"/>
            </w:tabs>
            <w:ind w:left="354" w:right="257" w:firstLine="0"/>
            <w:jc w:val="left"/>
          </w:pPr>
          <w:hyperlink w:anchor="_bookmark7" w:history="1">
            <w:r>
              <w:t>Description of the motivation for the study / need to investigate the new</w:t>
            </w:r>
          </w:hyperlink>
          <w:hyperlink w:anchor="_bookmark7" w:history="1">
            <w:r>
              <w:t xml:space="preserve"> treatment</w:t>
            </w:r>
            <w:r>
              <w:tab/>
              <w:t>10</w:t>
            </w:r>
          </w:hyperlink>
        </w:p>
        <w:p w:rsidR="00B0268C" w:rsidRDefault="00C408FB">
          <w:pPr>
            <w:pStyle w:val="TOC1"/>
            <w:numPr>
              <w:ilvl w:val="1"/>
              <w:numId w:val="40"/>
            </w:numPr>
            <w:tabs>
              <w:tab w:val="left" w:pos="517"/>
              <w:tab w:val="left" w:leader="dot" w:pos="8145"/>
            </w:tabs>
            <w:jc w:val="left"/>
          </w:pPr>
          <w:hyperlink w:anchor="_bookmark8" w:history="1">
            <w:r>
              <w:t>Populations and</w:t>
            </w:r>
            <w:r>
              <w:rPr>
                <w:spacing w:val="-7"/>
              </w:rPr>
              <w:t xml:space="preserve"> </w:t>
            </w:r>
            <w:r>
              <w:t>Study</w:t>
            </w:r>
            <w:r>
              <w:rPr>
                <w:spacing w:val="-4"/>
              </w:rPr>
              <w:t xml:space="preserve"> </w:t>
            </w:r>
            <w:r>
              <w:t>Sample</w:t>
            </w:r>
            <w:r>
              <w:tab/>
              <w:t>10</w:t>
            </w:r>
          </w:hyperlink>
        </w:p>
        <w:p w:rsidR="00B0268C" w:rsidRDefault="00C408FB">
          <w:pPr>
            <w:pStyle w:val="TOC2"/>
            <w:numPr>
              <w:ilvl w:val="1"/>
              <w:numId w:val="40"/>
            </w:numPr>
            <w:tabs>
              <w:tab w:val="left" w:pos="757"/>
              <w:tab w:val="left" w:leader="dot" w:pos="8145"/>
            </w:tabs>
            <w:spacing w:before="100"/>
            <w:ind w:left="756"/>
            <w:jc w:val="left"/>
          </w:pPr>
          <w:hyperlink w:anchor="_bookmark9" w:history="1">
            <w:r>
              <w:t>Target</w:t>
            </w:r>
            <w:r>
              <w:rPr>
                <w:spacing w:val="-1"/>
              </w:rPr>
              <w:t xml:space="preserve"> </w:t>
            </w:r>
            <w:r>
              <w:t>Population</w:t>
            </w:r>
            <w:r>
              <w:tab/>
              <w:t>10</w:t>
            </w:r>
          </w:hyperlink>
        </w:p>
        <w:p w:rsidR="00B0268C" w:rsidRDefault="00C408FB">
          <w:pPr>
            <w:pStyle w:val="TOC2"/>
            <w:numPr>
              <w:ilvl w:val="1"/>
              <w:numId w:val="40"/>
            </w:numPr>
            <w:tabs>
              <w:tab w:val="left" w:pos="757"/>
              <w:tab w:val="left" w:leader="dot" w:pos="8145"/>
            </w:tabs>
            <w:spacing w:before="100"/>
            <w:ind w:left="756"/>
            <w:jc w:val="left"/>
          </w:pPr>
          <w:hyperlink w:anchor="_bookmark10" w:history="1">
            <w:r>
              <w:t>Trial</w:t>
            </w:r>
            <w:r>
              <w:rPr>
                <w:spacing w:val="-3"/>
              </w:rPr>
              <w:t xml:space="preserve"> </w:t>
            </w:r>
            <w:r>
              <w:t>Population</w:t>
            </w:r>
            <w:r>
              <w:tab/>
              <w:t>10</w:t>
            </w:r>
          </w:hyperlink>
        </w:p>
        <w:p w:rsidR="00B0268C" w:rsidRDefault="00C408FB">
          <w:pPr>
            <w:pStyle w:val="TOC2"/>
            <w:numPr>
              <w:ilvl w:val="1"/>
              <w:numId w:val="40"/>
            </w:numPr>
            <w:tabs>
              <w:tab w:val="left" w:pos="757"/>
              <w:tab w:val="left" w:leader="dot" w:pos="8145"/>
            </w:tabs>
            <w:spacing w:before="99"/>
            <w:ind w:left="756"/>
            <w:jc w:val="left"/>
          </w:pPr>
          <w:hyperlink w:anchor="_bookmark11" w:history="1">
            <w:r>
              <w:t>Trial</w:t>
            </w:r>
            <w:r>
              <w:rPr>
                <w:spacing w:val="-3"/>
              </w:rPr>
              <w:t xml:space="preserve"> </w:t>
            </w:r>
            <w:r>
              <w:t>Samples</w:t>
            </w:r>
            <w:r>
              <w:tab/>
              <w:t>12</w:t>
            </w:r>
          </w:hyperlink>
        </w:p>
        <w:p w:rsidR="00B0268C" w:rsidRDefault="00C408FB">
          <w:pPr>
            <w:pStyle w:val="TOC4"/>
            <w:numPr>
              <w:ilvl w:val="2"/>
              <w:numId w:val="40"/>
            </w:numPr>
            <w:tabs>
              <w:tab w:val="left" w:pos="1137"/>
              <w:tab w:val="left" w:leader="dot" w:pos="8172"/>
            </w:tabs>
            <w:spacing w:before="97"/>
          </w:pPr>
          <w:hyperlink w:anchor="_bookmark12" w:history="1">
            <w:r>
              <w:t>Intention To</w:t>
            </w:r>
            <w:r>
              <w:rPr>
                <w:spacing w:val="-5"/>
              </w:rPr>
              <w:t xml:space="preserve"> </w:t>
            </w:r>
            <w:r>
              <w:t>Treat</w:t>
            </w:r>
            <w:r>
              <w:rPr>
                <w:spacing w:val="-2"/>
              </w:rPr>
              <w:t xml:space="preserve"> </w:t>
            </w:r>
            <w:r>
              <w:t>(ITT)</w:t>
            </w:r>
            <w:r>
              <w:tab/>
              <w:t>12</w:t>
            </w:r>
          </w:hyperlink>
        </w:p>
        <w:p w:rsidR="00B0268C" w:rsidRDefault="00C408FB">
          <w:pPr>
            <w:pStyle w:val="TOC4"/>
            <w:numPr>
              <w:ilvl w:val="2"/>
              <w:numId w:val="40"/>
            </w:numPr>
            <w:tabs>
              <w:tab w:val="left" w:pos="1135"/>
              <w:tab w:val="left" w:leader="dot" w:pos="8172"/>
            </w:tabs>
            <w:ind w:left="1134" w:hanging="541"/>
          </w:pPr>
          <w:hyperlink w:anchor="_bookmark13" w:history="1">
            <w:r>
              <w:t>Per</w:t>
            </w:r>
            <w:r>
              <w:rPr>
                <w:spacing w:val="-1"/>
              </w:rPr>
              <w:t xml:space="preserve"> </w:t>
            </w:r>
            <w:r>
              <w:t>Protocol (PP)</w:t>
            </w:r>
            <w:r>
              <w:tab/>
              <w:t>12</w:t>
            </w:r>
          </w:hyperlink>
        </w:p>
        <w:p w:rsidR="00B0268C" w:rsidRDefault="00C408FB">
          <w:pPr>
            <w:pStyle w:val="TOC2"/>
            <w:numPr>
              <w:ilvl w:val="1"/>
              <w:numId w:val="40"/>
            </w:numPr>
            <w:tabs>
              <w:tab w:val="left" w:pos="757"/>
              <w:tab w:val="left" w:leader="dot" w:pos="8145"/>
            </w:tabs>
            <w:spacing w:before="102"/>
            <w:ind w:left="756"/>
            <w:jc w:val="left"/>
          </w:pPr>
          <w:hyperlink w:anchor="_bookmark14" w:history="1">
            <w:r>
              <w:t>Inclusion and</w:t>
            </w:r>
            <w:r>
              <w:rPr>
                <w:spacing w:val="-6"/>
              </w:rPr>
              <w:t xml:space="preserve"> </w:t>
            </w:r>
            <w:r>
              <w:t>Exclusion</w:t>
            </w:r>
            <w:r>
              <w:rPr>
                <w:spacing w:val="-2"/>
              </w:rPr>
              <w:t xml:space="preserve"> </w:t>
            </w:r>
            <w:r>
              <w:t>criteria</w:t>
            </w:r>
            <w:r>
              <w:tab/>
              <w:t>13</w:t>
            </w:r>
          </w:hyperlink>
        </w:p>
        <w:p w:rsidR="00B0268C" w:rsidRDefault="00C408FB">
          <w:pPr>
            <w:pStyle w:val="TOC1"/>
            <w:tabs>
              <w:tab w:val="left" w:leader="dot" w:pos="8145"/>
            </w:tabs>
            <w:spacing w:before="101" w:line="328" w:lineRule="auto"/>
            <w:ind w:left="354" w:right="714" w:hanging="240"/>
          </w:pPr>
          <w:hyperlink w:anchor="_bookmark15" w:history="1">
            <w:r>
              <w:t>4.0 Objectives, principal research question and associated hypotheses14</w:t>
            </w:r>
          </w:hyperlink>
          <w:hyperlink w:anchor="_bookmark16" w:history="1">
            <w:r>
              <w:t xml:space="preserve"> 4.1 Principal</w:t>
            </w:r>
            <w:r>
              <w:rPr>
                <w:spacing w:val="-5"/>
              </w:rPr>
              <w:t xml:space="preserve"> </w:t>
            </w:r>
            <w:r>
              <w:t>Trial</w:t>
            </w:r>
            <w:r>
              <w:rPr>
                <w:spacing w:val="-3"/>
              </w:rPr>
              <w:t xml:space="preserve"> </w:t>
            </w:r>
            <w:r>
              <w:t>objective</w:t>
            </w:r>
            <w:r>
              <w:tab/>
              <w:t>14</w:t>
            </w:r>
          </w:hyperlink>
        </w:p>
        <w:p w:rsidR="00B0268C" w:rsidRDefault="00C408FB">
          <w:pPr>
            <w:pStyle w:val="TOC2"/>
            <w:numPr>
              <w:ilvl w:val="1"/>
              <w:numId w:val="39"/>
            </w:numPr>
            <w:tabs>
              <w:tab w:val="left" w:pos="757"/>
              <w:tab w:val="left" w:leader="dot" w:pos="8145"/>
            </w:tabs>
            <w:spacing w:before="0" w:line="271" w:lineRule="exact"/>
          </w:pPr>
          <w:hyperlink w:anchor="_bookmark17" w:history="1">
            <w:r>
              <w:t>Principal</w:t>
            </w:r>
            <w:r>
              <w:rPr>
                <w:spacing w:val="-3"/>
              </w:rPr>
              <w:t xml:space="preserve"> </w:t>
            </w:r>
            <w:r>
              <w:t>Research</w:t>
            </w:r>
            <w:r>
              <w:rPr>
                <w:spacing w:val="-3"/>
              </w:rPr>
              <w:t xml:space="preserve"> </w:t>
            </w:r>
            <w:r>
              <w:t>Question</w:t>
            </w:r>
            <w:r>
              <w:tab/>
              <w:t>14</w:t>
            </w:r>
          </w:hyperlink>
        </w:p>
        <w:p w:rsidR="00B0268C" w:rsidRDefault="00C408FB">
          <w:pPr>
            <w:pStyle w:val="TOC2"/>
            <w:numPr>
              <w:ilvl w:val="1"/>
              <w:numId w:val="39"/>
            </w:numPr>
            <w:tabs>
              <w:tab w:val="left" w:pos="757"/>
              <w:tab w:val="left" w:leader="dot" w:pos="8145"/>
            </w:tabs>
            <w:spacing w:before="100"/>
          </w:pPr>
          <w:hyperlink w:anchor="_bookmark18" w:history="1">
            <w:r>
              <w:t>Hypotheses</w:t>
            </w:r>
            <w:r>
              <w:tab/>
              <w:t>14</w:t>
            </w:r>
          </w:hyperlink>
        </w:p>
        <w:p w:rsidR="00B0268C" w:rsidRDefault="00C408FB">
          <w:pPr>
            <w:pStyle w:val="TOC2"/>
            <w:numPr>
              <w:ilvl w:val="1"/>
              <w:numId w:val="39"/>
            </w:numPr>
            <w:tabs>
              <w:tab w:val="left" w:pos="994"/>
              <w:tab w:val="left" w:pos="995"/>
              <w:tab w:val="left" w:leader="dot" w:pos="8145"/>
            </w:tabs>
            <w:spacing w:before="102"/>
            <w:ind w:left="994" w:hanging="641"/>
          </w:pPr>
          <w:hyperlink w:anchor="_bookmark19" w:history="1">
            <w:r>
              <w:t>Study</w:t>
            </w:r>
            <w:r>
              <w:rPr>
                <w:spacing w:val="-5"/>
              </w:rPr>
              <w:t xml:space="preserve"> </w:t>
            </w:r>
            <w:r>
              <w:t>objectives</w:t>
            </w:r>
            <w:r>
              <w:tab/>
              <w:t>15</w:t>
            </w:r>
          </w:hyperlink>
        </w:p>
        <w:p w:rsidR="00B0268C" w:rsidRDefault="00C408FB">
          <w:pPr>
            <w:pStyle w:val="TOC4"/>
            <w:numPr>
              <w:ilvl w:val="2"/>
              <w:numId w:val="39"/>
            </w:numPr>
            <w:tabs>
              <w:tab w:val="left" w:pos="1433"/>
              <w:tab w:val="left" w:pos="1434"/>
              <w:tab w:val="left" w:leader="dot" w:pos="8172"/>
            </w:tabs>
            <w:spacing w:before="94"/>
          </w:pPr>
          <w:hyperlink w:anchor="_bookmark20" w:history="1">
            <w:r>
              <w:t>Primary</w:t>
            </w:r>
            <w:r>
              <w:rPr>
                <w:spacing w:val="-6"/>
              </w:rPr>
              <w:t xml:space="preserve"> </w:t>
            </w:r>
            <w:r>
              <w:t>objective</w:t>
            </w:r>
            <w:r>
              <w:tab/>
              <w:t>15</w:t>
            </w:r>
          </w:hyperlink>
        </w:p>
        <w:p w:rsidR="00B0268C" w:rsidRDefault="00C408FB">
          <w:pPr>
            <w:pStyle w:val="TOC4"/>
            <w:numPr>
              <w:ilvl w:val="2"/>
              <w:numId w:val="39"/>
            </w:numPr>
            <w:tabs>
              <w:tab w:val="left" w:pos="1433"/>
              <w:tab w:val="left" w:pos="1434"/>
              <w:tab w:val="left" w:leader="dot" w:pos="8172"/>
            </w:tabs>
          </w:pPr>
          <w:hyperlink w:anchor="_bookmark21" w:history="1">
            <w:r>
              <w:t>Secondary</w:t>
            </w:r>
            <w:r>
              <w:rPr>
                <w:spacing w:val="-6"/>
              </w:rPr>
              <w:t xml:space="preserve"> </w:t>
            </w:r>
            <w:r>
              <w:t>Objectives</w:t>
            </w:r>
            <w:r>
              <w:tab/>
              <w:t>15</w:t>
            </w:r>
          </w:hyperlink>
        </w:p>
        <w:p w:rsidR="00B0268C" w:rsidRDefault="00C408FB">
          <w:pPr>
            <w:pStyle w:val="TOC1"/>
            <w:numPr>
              <w:ilvl w:val="1"/>
              <w:numId w:val="38"/>
            </w:numPr>
            <w:tabs>
              <w:tab w:val="left" w:pos="517"/>
              <w:tab w:val="left" w:leader="dot" w:pos="8145"/>
            </w:tabs>
            <w:spacing w:before="105"/>
            <w:jc w:val="left"/>
          </w:pPr>
          <w:hyperlink w:anchor="_bookmark22" w:history="1">
            <w:r>
              <w:t>Trial</w:t>
            </w:r>
            <w:r>
              <w:rPr>
                <w:spacing w:val="-2"/>
              </w:rPr>
              <w:t xml:space="preserve"> </w:t>
            </w:r>
            <w:r>
              <w:t>design</w:t>
            </w:r>
            <w:r>
              <w:tab/>
              <w:t>17</w:t>
            </w:r>
          </w:hyperlink>
        </w:p>
        <w:p w:rsidR="00B0268C" w:rsidRDefault="00C408FB">
          <w:pPr>
            <w:pStyle w:val="TOC2"/>
            <w:numPr>
              <w:ilvl w:val="1"/>
              <w:numId w:val="38"/>
            </w:numPr>
            <w:tabs>
              <w:tab w:val="left" w:pos="757"/>
              <w:tab w:val="left" w:leader="dot" w:pos="8145"/>
            </w:tabs>
            <w:spacing w:before="98"/>
            <w:ind w:left="756"/>
            <w:jc w:val="left"/>
          </w:pPr>
          <w:hyperlink w:anchor="_bookmark23" w:history="1">
            <w:r>
              <w:t>Treatment</w:t>
            </w:r>
            <w:r>
              <w:rPr>
                <w:spacing w:val="-2"/>
              </w:rPr>
              <w:t xml:space="preserve"> </w:t>
            </w:r>
            <w:r>
              <w:t>arms</w:t>
            </w:r>
            <w:r>
              <w:tab/>
              <w:t>17</w:t>
            </w:r>
          </w:hyperlink>
        </w:p>
        <w:p w:rsidR="00B0268C" w:rsidRDefault="00C408FB">
          <w:pPr>
            <w:pStyle w:val="TOC2"/>
            <w:numPr>
              <w:ilvl w:val="1"/>
              <w:numId w:val="38"/>
            </w:numPr>
            <w:tabs>
              <w:tab w:val="left" w:pos="757"/>
              <w:tab w:val="left" w:leader="dot" w:pos="8145"/>
            </w:tabs>
            <w:ind w:left="756"/>
            <w:jc w:val="left"/>
          </w:pPr>
          <w:hyperlink w:anchor="_bookmark24" w:history="1">
            <w:r>
              <w:t>Type</w:t>
            </w:r>
            <w:r>
              <w:rPr>
                <w:spacing w:val="-1"/>
              </w:rPr>
              <w:t xml:space="preserve"> </w:t>
            </w:r>
            <w:r>
              <w:t>of</w:t>
            </w:r>
            <w:r>
              <w:rPr>
                <w:spacing w:val="-2"/>
              </w:rPr>
              <w:t xml:space="preserve"> </w:t>
            </w:r>
            <w:r>
              <w:t>RCT</w:t>
            </w:r>
            <w:r>
              <w:tab/>
              <w:t>17</w:t>
            </w:r>
          </w:hyperlink>
        </w:p>
        <w:p w:rsidR="00B0268C" w:rsidRDefault="00C408FB">
          <w:pPr>
            <w:pStyle w:val="TOC2"/>
            <w:numPr>
              <w:ilvl w:val="1"/>
              <w:numId w:val="38"/>
            </w:numPr>
            <w:tabs>
              <w:tab w:val="left" w:pos="757"/>
              <w:tab w:val="left" w:leader="dot" w:pos="8145"/>
            </w:tabs>
            <w:ind w:left="756"/>
            <w:jc w:val="left"/>
          </w:pPr>
          <w:hyperlink w:anchor="_bookmark25" w:history="1">
            <w:r>
              <w:t>Frequency and duration</w:t>
            </w:r>
            <w:r>
              <w:rPr>
                <w:spacing w:val="-6"/>
              </w:rPr>
              <w:t xml:space="preserve"> </w:t>
            </w:r>
            <w:r>
              <w:t>of</w:t>
            </w:r>
            <w:r>
              <w:rPr>
                <w:spacing w:val="-1"/>
              </w:rPr>
              <w:t xml:space="preserve"> </w:t>
            </w:r>
            <w:r>
              <w:t>follow-up</w:t>
            </w:r>
            <w:r>
              <w:tab/>
              <w:t>17</w:t>
            </w:r>
          </w:hyperlink>
        </w:p>
        <w:p w:rsidR="00B0268C" w:rsidRDefault="00C408FB">
          <w:pPr>
            <w:pStyle w:val="TOC1"/>
            <w:numPr>
              <w:ilvl w:val="1"/>
              <w:numId w:val="37"/>
            </w:numPr>
            <w:tabs>
              <w:tab w:val="left" w:pos="517"/>
              <w:tab w:val="left" w:leader="dot" w:pos="8145"/>
            </w:tabs>
            <w:spacing w:before="98"/>
            <w:jc w:val="left"/>
          </w:pPr>
          <w:hyperlink w:anchor="_bookmark26" w:history="1">
            <w:r>
              <w:t>Trial</w:t>
            </w:r>
            <w:r>
              <w:rPr>
                <w:spacing w:val="-3"/>
              </w:rPr>
              <w:t xml:space="preserve"> </w:t>
            </w:r>
            <w:r>
              <w:t>measures</w:t>
            </w:r>
            <w:r>
              <w:tab/>
              <w:t>17</w:t>
            </w:r>
          </w:hyperlink>
        </w:p>
        <w:p w:rsidR="00B0268C" w:rsidRDefault="00C408FB">
          <w:pPr>
            <w:pStyle w:val="TOC2"/>
            <w:numPr>
              <w:ilvl w:val="1"/>
              <w:numId w:val="37"/>
            </w:numPr>
            <w:tabs>
              <w:tab w:val="left" w:pos="757"/>
              <w:tab w:val="left" w:leader="dot" w:pos="8145"/>
            </w:tabs>
            <w:ind w:left="756"/>
            <w:jc w:val="left"/>
          </w:pPr>
          <w:hyperlink w:anchor="_bookmark27" w:history="1">
            <w:r>
              <w:t>Primary</w:t>
            </w:r>
            <w:r>
              <w:rPr>
                <w:spacing w:val="-7"/>
              </w:rPr>
              <w:t xml:space="preserve"> </w:t>
            </w:r>
            <w:r>
              <w:t>outcome</w:t>
            </w:r>
            <w:r>
              <w:tab/>
              <w:t>17</w:t>
            </w:r>
          </w:hyperlink>
        </w:p>
        <w:p w:rsidR="00B0268C" w:rsidRDefault="00C408FB">
          <w:pPr>
            <w:pStyle w:val="TOC2"/>
            <w:numPr>
              <w:ilvl w:val="1"/>
              <w:numId w:val="37"/>
            </w:numPr>
            <w:tabs>
              <w:tab w:val="left" w:pos="757"/>
              <w:tab w:val="left" w:leader="dot" w:pos="8145"/>
            </w:tabs>
            <w:ind w:left="756"/>
            <w:jc w:val="left"/>
          </w:pPr>
          <w:hyperlink w:anchor="_bookmark28" w:history="1">
            <w:r>
              <w:t>Secondary</w:t>
            </w:r>
            <w:r>
              <w:rPr>
                <w:spacing w:val="-7"/>
              </w:rPr>
              <w:t xml:space="preserve"> </w:t>
            </w:r>
            <w:r>
              <w:t>outcomes</w:t>
            </w:r>
            <w:r>
              <w:tab/>
              <w:t>18</w:t>
            </w:r>
          </w:hyperlink>
        </w:p>
        <w:p w:rsidR="00B0268C" w:rsidRDefault="00C408FB">
          <w:pPr>
            <w:pStyle w:val="TOC4"/>
            <w:numPr>
              <w:ilvl w:val="2"/>
              <w:numId w:val="37"/>
            </w:numPr>
            <w:tabs>
              <w:tab w:val="left" w:pos="1135"/>
              <w:tab w:val="left" w:leader="dot" w:pos="8172"/>
            </w:tabs>
            <w:spacing w:before="95"/>
            <w:ind w:hanging="541"/>
          </w:pPr>
          <w:hyperlink w:anchor="_bookmark29" w:history="1">
            <w:r>
              <w:t>Continuous</w:t>
            </w:r>
            <w:r>
              <w:rPr>
                <w:spacing w:val="-2"/>
              </w:rPr>
              <w:t xml:space="preserve"> </w:t>
            </w:r>
            <w:r>
              <w:t>outcome</w:t>
            </w:r>
            <w:r>
              <w:rPr>
                <w:spacing w:val="-2"/>
              </w:rPr>
              <w:t xml:space="preserve"> </w:t>
            </w:r>
            <w:r>
              <w:t>variables:</w:t>
            </w:r>
            <w:r>
              <w:tab/>
              <w:t>18</w:t>
            </w:r>
          </w:hyperlink>
        </w:p>
        <w:p w:rsidR="00B0268C" w:rsidRDefault="00C408FB">
          <w:pPr>
            <w:pStyle w:val="TOC4"/>
            <w:numPr>
              <w:ilvl w:val="2"/>
              <w:numId w:val="37"/>
            </w:numPr>
            <w:tabs>
              <w:tab w:val="left" w:pos="1135"/>
              <w:tab w:val="left" w:leader="dot" w:pos="8172"/>
            </w:tabs>
            <w:ind w:hanging="541"/>
          </w:pPr>
          <w:hyperlink w:anchor="_bookmark30" w:history="1">
            <w:r>
              <w:t>Categorical</w:t>
            </w:r>
            <w:r>
              <w:rPr>
                <w:spacing w:val="-2"/>
              </w:rPr>
              <w:t xml:space="preserve"> </w:t>
            </w:r>
            <w:r>
              <w:t>outcome</w:t>
            </w:r>
            <w:r>
              <w:rPr>
                <w:spacing w:val="-3"/>
              </w:rPr>
              <w:t xml:space="preserve"> </w:t>
            </w:r>
            <w:r>
              <w:t>variables:</w:t>
            </w:r>
            <w:r>
              <w:tab/>
              <w:t>18</w:t>
            </w:r>
          </w:hyperlink>
        </w:p>
        <w:p w:rsidR="00B0268C" w:rsidRDefault="00C408FB">
          <w:pPr>
            <w:pStyle w:val="TOC2"/>
            <w:numPr>
              <w:ilvl w:val="1"/>
              <w:numId w:val="37"/>
            </w:numPr>
            <w:tabs>
              <w:tab w:val="left" w:pos="757"/>
              <w:tab w:val="left" w:leader="dot" w:pos="8145"/>
            </w:tabs>
            <w:spacing w:before="105"/>
            <w:ind w:left="756"/>
            <w:jc w:val="left"/>
          </w:pPr>
          <w:hyperlink w:anchor="_bookmark31" w:history="1">
            <w:r>
              <w:t>Timing</w:t>
            </w:r>
            <w:r>
              <w:rPr>
                <w:spacing w:val="-2"/>
              </w:rPr>
              <w:t xml:space="preserve"> </w:t>
            </w:r>
            <w:r>
              <w:t>of</w:t>
            </w:r>
            <w:r>
              <w:rPr>
                <w:spacing w:val="-2"/>
              </w:rPr>
              <w:t xml:space="preserve"> </w:t>
            </w:r>
            <w:r>
              <w:t>measures</w:t>
            </w:r>
            <w:r>
              <w:tab/>
              <w:t>18</w:t>
            </w:r>
          </w:hyperlink>
        </w:p>
        <w:p w:rsidR="00B0268C" w:rsidRDefault="00C408FB">
          <w:pPr>
            <w:pStyle w:val="TOC2"/>
            <w:numPr>
              <w:ilvl w:val="1"/>
              <w:numId w:val="37"/>
            </w:numPr>
            <w:tabs>
              <w:tab w:val="left" w:pos="757"/>
              <w:tab w:val="left" w:leader="dot" w:pos="8145"/>
            </w:tabs>
            <w:spacing w:before="98"/>
            <w:ind w:left="756"/>
            <w:jc w:val="left"/>
          </w:pPr>
          <w:hyperlink w:anchor="_bookmark32" w:history="1">
            <w:r>
              <w:t>Participant duration in</w:t>
            </w:r>
            <w:r>
              <w:rPr>
                <w:spacing w:val="-6"/>
              </w:rPr>
              <w:t xml:space="preserve"> </w:t>
            </w:r>
            <w:r>
              <w:t>the</w:t>
            </w:r>
            <w:r>
              <w:rPr>
                <w:spacing w:val="-1"/>
              </w:rPr>
              <w:t xml:space="preserve"> </w:t>
            </w:r>
            <w:r>
              <w:t>study</w:t>
            </w:r>
            <w:r>
              <w:tab/>
              <w:t>20</w:t>
            </w:r>
          </w:hyperlink>
        </w:p>
        <w:p w:rsidR="00B0268C" w:rsidRDefault="00C408FB">
          <w:pPr>
            <w:pStyle w:val="TOC2"/>
            <w:numPr>
              <w:ilvl w:val="1"/>
              <w:numId w:val="37"/>
            </w:numPr>
            <w:tabs>
              <w:tab w:val="left" w:pos="757"/>
              <w:tab w:val="left" w:leader="dot" w:pos="8145"/>
            </w:tabs>
            <w:spacing w:after="20"/>
            <w:ind w:left="756"/>
            <w:jc w:val="left"/>
          </w:pPr>
          <w:hyperlink w:anchor="_bookmark33" w:history="1">
            <w:r>
              <w:t>Final</w:t>
            </w:r>
            <w:r>
              <w:rPr>
                <w:spacing w:val="-4"/>
              </w:rPr>
              <w:t xml:space="preserve"> </w:t>
            </w:r>
            <w:r>
              <w:t>assessment</w:t>
            </w:r>
            <w:r>
              <w:tab/>
              <w:t>20</w:t>
            </w:r>
          </w:hyperlink>
        </w:p>
        <w:p w:rsidR="00B0268C" w:rsidRDefault="00C408FB">
          <w:pPr>
            <w:pStyle w:val="TOC1"/>
            <w:numPr>
              <w:ilvl w:val="1"/>
              <w:numId w:val="36"/>
            </w:numPr>
            <w:tabs>
              <w:tab w:val="left" w:pos="517"/>
              <w:tab w:val="left" w:leader="dot" w:pos="8145"/>
            </w:tabs>
            <w:spacing w:before="359"/>
            <w:jc w:val="left"/>
          </w:pPr>
          <w:hyperlink w:anchor="_bookmark34" w:history="1">
            <w:r>
              <w:t>Sample</w:t>
            </w:r>
            <w:r>
              <w:rPr>
                <w:spacing w:val="-3"/>
              </w:rPr>
              <w:t xml:space="preserve"> </w:t>
            </w:r>
            <w:r>
              <w:t>Size</w:t>
            </w:r>
            <w:r>
              <w:tab/>
              <w:t>20</w:t>
            </w:r>
          </w:hyperlink>
        </w:p>
        <w:p w:rsidR="00B0268C" w:rsidRDefault="00C408FB">
          <w:pPr>
            <w:pStyle w:val="TOC2"/>
            <w:numPr>
              <w:ilvl w:val="1"/>
              <w:numId w:val="36"/>
            </w:numPr>
            <w:tabs>
              <w:tab w:val="left" w:pos="757"/>
              <w:tab w:val="left" w:leader="dot" w:pos="8145"/>
            </w:tabs>
            <w:ind w:left="756"/>
            <w:jc w:val="left"/>
          </w:pPr>
          <w:hyperlink w:anchor="_bookmark35" w:history="1">
            <w:r>
              <w:t>Determination of the primary outcome</w:t>
            </w:r>
            <w:r>
              <w:rPr>
                <w:spacing w:val="-9"/>
              </w:rPr>
              <w:t xml:space="preserve"> </w:t>
            </w:r>
            <w:r>
              <w:t>effect size</w:t>
            </w:r>
            <w:r>
              <w:tab/>
              <w:t>20</w:t>
            </w:r>
          </w:hyperlink>
        </w:p>
        <w:p w:rsidR="00B0268C" w:rsidRDefault="00C408FB">
          <w:pPr>
            <w:pStyle w:val="TOC2"/>
            <w:numPr>
              <w:ilvl w:val="1"/>
              <w:numId w:val="36"/>
            </w:numPr>
            <w:tabs>
              <w:tab w:val="left" w:pos="757"/>
              <w:tab w:val="left" w:leader="dot" w:pos="8145"/>
            </w:tabs>
            <w:ind w:left="756"/>
            <w:jc w:val="left"/>
          </w:pPr>
          <w:hyperlink w:anchor="_bookmark36" w:history="1">
            <w:r>
              <w:t>Determination of the primary</w:t>
            </w:r>
            <w:r>
              <w:rPr>
                <w:spacing w:val="-10"/>
              </w:rPr>
              <w:t xml:space="preserve"> </w:t>
            </w:r>
            <w:r>
              <w:t>outcome variability</w:t>
            </w:r>
            <w:r>
              <w:tab/>
              <w:t>20</w:t>
            </w:r>
          </w:hyperlink>
        </w:p>
        <w:p w:rsidR="00B0268C" w:rsidRDefault="00C408FB">
          <w:pPr>
            <w:pStyle w:val="TOC2"/>
            <w:numPr>
              <w:ilvl w:val="1"/>
              <w:numId w:val="36"/>
            </w:numPr>
            <w:tabs>
              <w:tab w:val="left" w:pos="757"/>
              <w:tab w:val="left" w:leader="dot" w:pos="8145"/>
            </w:tabs>
            <w:spacing w:before="99"/>
            <w:ind w:left="756"/>
            <w:jc w:val="left"/>
          </w:pPr>
          <w:hyperlink w:anchor="_bookmark37" w:history="1">
            <w:r>
              <w:t>Clustering of outcomes from eyes within</w:t>
            </w:r>
            <w:r>
              <w:rPr>
                <w:spacing w:val="-14"/>
              </w:rPr>
              <w:t xml:space="preserve"> </w:t>
            </w:r>
            <w:r>
              <w:t>subjects</w:t>
            </w:r>
            <w:r>
              <w:rPr>
                <w:spacing w:val="-2"/>
              </w:rPr>
              <w:t xml:space="preserve"> </w:t>
            </w:r>
            <w:r>
              <w:t>effects</w:t>
            </w:r>
            <w:r>
              <w:tab/>
              <w:t>20</w:t>
            </w:r>
          </w:hyperlink>
        </w:p>
        <w:p w:rsidR="00B0268C" w:rsidRDefault="00C408FB">
          <w:pPr>
            <w:pStyle w:val="TOC2"/>
            <w:numPr>
              <w:ilvl w:val="1"/>
              <w:numId w:val="36"/>
            </w:numPr>
            <w:tabs>
              <w:tab w:val="left" w:pos="757"/>
              <w:tab w:val="left" w:leader="dot" w:pos="8145"/>
            </w:tabs>
            <w:ind w:left="756"/>
            <w:jc w:val="left"/>
          </w:pPr>
          <w:hyperlink w:anchor="_bookmark38" w:history="1">
            <w:r>
              <w:t>Power to</w:t>
            </w:r>
            <w:r>
              <w:rPr>
                <w:spacing w:val="-5"/>
              </w:rPr>
              <w:t xml:space="preserve"> </w:t>
            </w:r>
            <w:r>
              <w:t>detect</w:t>
            </w:r>
            <w:r>
              <w:rPr>
                <w:spacing w:val="-2"/>
              </w:rPr>
              <w:t xml:space="preserve"> </w:t>
            </w:r>
            <w:r>
              <w:t>effects</w:t>
            </w:r>
            <w:r>
              <w:tab/>
              <w:t>21</w:t>
            </w:r>
          </w:hyperlink>
        </w:p>
        <w:p w:rsidR="00B0268C" w:rsidRDefault="00C408FB">
          <w:pPr>
            <w:pStyle w:val="TOC2"/>
            <w:numPr>
              <w:ilvl w:val="1"/>
              <w:numId w:val="36"/>
            </w:numPr>
            <w:tabs>
              <w:tab w:val="left" w:pos="757"/>
            </w:tabs>
            <w:spacing w:before="100"/>
            <w:ind w:left="756"/>
            <w:jc w:val="left"/>
          </w:pPr>
          <w:hyperlink w:anchor="_bookmark39" w:history="1">
            <w:r>
              <w:t>Determination of the sample size based on the primary outcome</w:t>
            </w:r>
            <w:r>
              <w:rPr>
                <w:spacing w:val="8"/>
              </w:rPr>
              <w:t xml:space="preserve"> </w:t>
            </w:r>
            <w:r>
              <w:t>21</w:t>
            </w:r>
          </w:hyperlink>
        </w:p>
        <w:p w:rsidR="00B0268C" w:rsidRDefault="00C408FB">
          <w:pPr>
            <w:pStyle w:val="TOC2"/>
            <w:numPr>
              <w:ilvl w:val="1"/>
              <w:numId w:val="36"/>
            </w:numPr>
            <w:tabs>
              <w:tab w:val="left" w:pos="757"/>
              <w:tab w:val="left" w:leader="dot" w:pos="8145"/>
            </w:tabs>
            <w:spacing w:before="99" w:line="328" w:lineRule="auto"/>
            <w:ind w:left="114" w:right="769" w:firstLine="240"/>
            <w:jc w:val="left"/>
          </w:pPr>
          <w:hyperlink w:anchor="_bookmark40" w:history="1">
            <w:r>
              <w:t>Detectable effects sizes expressed in general standardised form 21</w:t>
            </w:r>
          </w:hyperlink>
          <w:hyperlink w:anchor="_bookmark41" w:history="1">
            <w:r>
              <w:t xml:space="preserve"> 8.0 Randomisation</w:t>
            </w:r>
            <w:r>
              <w:rPr>
                <w:spacing w:val="-2"/>
              </w:rPr>
              <w:t xml:space="preserve"> </w:t>
            </w:r>
            <w:r>
              <w:t>and</w:t>
            </w:r>
            <w:r>
              <w:rPr>
                <w:spacing w:val="-1"/>
              </w:rPr>
              <w:t xml:space="preserve"> </w:t>
            </w:r>
            <w:r>
              <w:t>Subgroups</w:t>
            </w:r>
            <w:r>
              <w:tab/>
            </w:r>
            <w:r>
              <w:rPr>
                <w:spacing w:val="-8"/>
              </w:rPr>
              <w:t>21</w:t>
            </w:r>
          </w:hyperlink>
        </w:p>
        <w:p w:rsidR="00B0268C" w:rsidRDefault="00C408FB">
          <w:pPr>
            <w:pStyle w:val="TOC2"/>
            <w:numPr>
              <w:ilvl w:val="1"/>
              <w:numId w:val="35"/>
            </w:numPr>
            <w:tabs>
              <w:tab w:val="left" w:pos="759"/>
              <w:tab w:val="left" w:leader="dot" w:pos="8145"/>
            </w:tabs>
            <w:spacing w:before="0" w:line="273" w:lineRule="exact"/>
          </w:pPr>
          <w:hyperlink w:anchor="_bookmark42" w:history="1">
            <w:r>
              <w:t>Arms</w:t>
            </w:r>
            <w:r>
              <w:tab/>
              <w:t>21</w:t>
            </w:r>
          </w:hyperlink>
        </w:p>
        <w:p w:rsidR="00B0268C" w:rsidRDefault="00C408FB">
          <w:pPr>
            <w:pStyle w:val="TOC2"/>
            <w:numPr>
              <w:ilvl w:val="1"/>
              <w:numId w:val="35"/>
            </w:numPr>
            <w:tabs>
              <w:tab w:val="left" w:pos="757"/>
              <w:tab w:val="left" w:leader="dot" w:pos="8145"/>
            </w:tabs>
            <w:spacing w:before="98"/>
            <w:ind w:left="756" w:hanging="403"/>
          </w:pPr>
          <w:hyperlink w:anchor="_bookmark43" w:history="1">
            <w:r>
              <w:t>Method</w:t>
            </w:r>
            <w:r>
              <w:rPr>
                <w:spacing w:val="-2"/>
              </w:rPr>
              <w:t xml:space="preserve"> </w:t>
            </w:r>
            <w:r>
              <w:t>of</w:t>
            </w:r>
            <w:r>
              <w:rPr>
                <w:spacing w:val="-2"/>
              </w:rPr>
              <w:t xml:space="preserve"> </w:t>
            </w:r>
            <w:r>
              <w:t>allocation</w:t>
            </w:r>
            <w:r>
              <w:tab/>
              <w:t>21</w:t>
            </w:r>
          </w:hyperlink>
        </w:p>
        <w:p w:rsidR="00B0268C" w:rsidRDefault="00C408FB">
          <w:pPr>
            <w:pStyle w:val="TOC2"/>
            <w:numPr>
              <w:ilvl w:val="1"/>
              <w:numId w:val="35"/>
            </w:numPr>
            <w:tabs>
              <w:tab w:val="left" w:pos="757"/>
              <w:tab w:val="left" w:leader="dot" w:pos="8145"/>
            </w:tabs>
            <w:ind w:left="756" w:hanging="403"/>
          </w:pPr>
          <w:hyperlink w:anchor="_bookmark44" w:history="1">
            <w:r>
              <w:t>Relative timing</w:t>
            </w:r>
            <w:r>
              <w:rPr>
                <w:spacing w:val="-3"/>
              </w:rPr>
              <w:t xml:space="preserve"> </w:t>
            </w:r>
            <w:r>
              <w:t>of</w:t>
            </w:r>
            <w:r>
              <w:rPr>
                <w:spacing w:val="-2"/>
              </w:rPr>
              <w:t xml:space="preserve"> </w:t>
            </w:r>
            <w:r>
              <w:t>randomisation</w:t>
            </w:r>
            <w:r>
              <w:tab/>
              <w:t>21</w:t>
            </w:r>
          </w:hyperlink>
        </w:p>
        <w:p w:rsidR="00B0268C" w:rsidRDefault="00C408FB">
          <w:pPr>
            <w:pStyle w:val="TOC2"/>
            <w:numPr>
              <w:ilvl w:val="1"/>
              <w:numId w:val="35"/>
            </w:numPr>
            <w:tabs>
              <w:tab w:val="left" w:pos="757"/>
              <w:tab w:val="left" w:leader="dot" w:pos="8145"/>
            </w:tabs>
            <w:ind w:left="756" w:hanging="403"/>
          </w:pPr>
          <w:hyperlink w:anchor="_bookmark45" w:history="1">
            <w:r>
              <w:t>Subgroup</w:t>
            </w:r>
            <w:r>
              <w:rPr>
                <w:spacing w:val="-3"/>
              </w:rPr>
              <w:t xml:space="preserve"> </w:t>
            </w:r>
            <w:r>
              <w:t>variables</w:t>
            </w:r>
            <w:r>
              <w:tab/>
              <w:t>23</w:t>
            </w:r>
          </w:hyperlink>
        </w:p>
        <w:p w:rsidR="00B0268C" w:rsidRDefault="00C408FB">
          <w:pPr>
            <w:pStyle w:val="TOC1"/>
            <w:tabs>
              <w:tab w:val="left" w:leader="dot" w:pos="8145"/>
            </w:tabs>
            <w:spacing w:before="99"/>
          </w:pPr>
          <w:hyperlink w:anchor="_bookmark46" w:history="1">
            <w:r>
              <w:t>9.0 Blinding</w:t>
            </w:r>
            <w:r>
              <w:tab/>
              <w:t>23</w:t>
            </w:r>
          </w:hyperlink>
        </w:p>
        <w:p w:rsidR="00B0268C" w:rsidRDefault="00C408FB">
          <w:pPr>
            <w:pStyle w:val="TOC1"/>
            <w:numPr>
              <w:ilvl w:val="1"/>
              <w:numId w:val="34"/>
            </w:numPr>
            <w:tabs>
              <w:tab w:val="left" w:pos="649"/>
              <w:tab w:val="left" w:leader="dot" w:pos="8145"/>
            </w:tabs>
            <w:spacing w:before="101"/>
            <w:jc w:val="left"/>
          </w:pPr>
          <w:hyperlink w:anchor="_bookmark47" w:history="1">
            <w:r>
              <w:t>Data</w:t>
            </w:r>
            <w:r>
              <w:rPr>
                <w:spacing w:val="-1"/>
              </w:rPr>
              <w:t xml:space="preserve"> </w:t>
            </w:r>
            <w:r>
              <w:t>and</w:t>
            </w:r>
            <w:r>
              <w:rPr>
                <w:spacing w:val="-2"/>
              </w:rPr>
              <w:t xml:space="preserve"> </w:t>
            </w:r>
            <w:r>
              <w:t>Distributions</w:t>
            </w:r>
            <w:r>
              <w:tab/>
              <w:t>23</w:t>
            </w:r>
          </w:hyperlink>
        </w:p>
        <w:p w:rsidR="00B0268C" w:rsidRDefault="00C408FB">
          <w:pPr>
            <w:pStyle w:val="TOC2"/>
            <w:numPr>
              <w:ilvl w:val="1"/>
              <w:numId w:val="34"/>
            </w:numPr>
            <w:tabs>
              <w:tab w:val="left" w:pos="889"/>
              <w:tab w:val="left" w:leader="dot" w:pos="8145"/>
            </w:tabs>
            <w:ind w:left="888"/>
            <w:jc w:val="left"/>
          </w:pPr>
          <w:hyperlink w:anchor="_bookmark48" w:history="1">
            <w:r>
              <w:t>Data</w:t>
            </w:r>
            <w:r>
              <w:rPr>
                <w:spacing w:val="-1"/>
              </w:rPr>
              <w:t xml:space="preserve"> </w:t>
            </w:r>
            <w:r>
              <w:t>decisions</w:t>
            </w:r>
            <w:r>
              <w:rPr>
                <w:spacing w:val="-3"/>
              </w:rPr>
              <w:t xml:space="preserve"> </w:t>
            </w:r>
            <w:r>
              <w:t>made</w:t>
            </w:r>
            <w:r>
              <w:tab/>
              <w:t>23</w:t>
            </w:r>
          </w:hyperlink>
        </w:p>
        <w:p w:rsidR="00B0268C" w:rsidRDefault="00C408FB">
          <w:pPr>
            <w:pStyle w:val="TOC2"/>
            <w:numPr>
              <w:ilvl w:val="1"/>
              <w:numId w:val="34"/>
            </w:numPr>
            <w:tabs>
              <w:tab w:val="left" w:pos="889"/>
              <w:tab w:val="left" w:leader="dot" w:pos="8145"/>
            </w:tabs>
            <w:spacing w:before="98"/>
            <w:ind w:left="888"/>
            <w:jc w:val="left"/>
          </w:pPr>
          <w:hyperlink w:anchor="_bookmark49" w:history="1">
            <w:r>
              <w:t>Outcomes</w:t>
            </w:r>
            <w:r>
              <w:rPr>
                <w:spacing w:val="-3"/>
              </w:rPr>
              <w:t xml:space="preserve"> </w:t>
            </w:r>
            <w:r>
              <w:t>requiring</w:t>
            </w:r>
            <w:r>
              <w:rPr>
                <w:spacing w:val="-2"/>
              </w:rPr>
              <w:t xml:space="preserve"> </w:t>
            </w:r>
            <w:r>
              <w:t>derivation</w:t>
            </w:r>
            <w:r>
              <w:tab/>
              <w:t>23</w:t>
            </w:r>
          </w:hyperlink>
        </w:p>
        <w:p w:rsidR="00B0268C" w:rsidRDefault="00C408FB">
          <w:pPr>
            <w:pStyle w:val="TOC4"/>
            <w:numPr>
              <w:ilvl w:val="2"/>
              <w:numId w:val="34"/>
            </w:numPr>
            <w:tabs>
              <w:tab w:val="left" w:pos="1255"/>
              <w:tab w:val="left" w:leader="dot" w:pos="8172"/>
            </w:tabs>
            <w:spacing w:before="97"/>
            <w:ind w:hanging="661"/>
          </w:pPr>
          <w:hyperlink w:anchor="_bookmark50" w:history="1">
            <w:r>
              <w:t>Procedure for</w:t>
            </w:r>
            <w:r>
              <w:rPr>
                <w:spacing w:val="-3"/>
              </w:rPr>
              <w:t xml:space="preserve"> </w:t>
            </w:r>
            <w:r>
              <w:t>deriving</w:t>
            </w:r>
            <w:r>
              <w:rPr>
                <w:spacing w:val="-3"/>
              </w:rPr>
              <w:t xml:space="preserve"> </w:t>
            </w:r>
            <w:r>
              <w:t>variables</w:t>
            </w:r>
            <w:r>
              <w:tab/>
              <w:t>24</w:t>
            </w:r>
          </w:hyperlink>
        </w:p>
        <w:p w:rsidR="00B0268C" w:rsidRDefault="00C408FB">
          <w:pPr>
            <w:pStyle w:val="TOC4"/>
            <w:numPr>
              <w:ilvl w:val="2"/>
              <w:numId w:val="34"/>
            </w:numPr>
            <w:tabs>
              <w:tab w:val="left" w:pos="1255"/>
              <w:tab w:val="left" w:leader="dot" w:pos="8172"/>
            </w:tabs>
            <w:ind w:hanging="661"/>
          </w:pPr>
          <w:hyperlink w:anchor="_bookmark51" w:history="1">
            <w:r>
              <w:t>Missing items in scale</w:t>
            </w:r>
            <w:r>
              <w:rPr>
                <w:spacing w:val="-6"/>
              </w:rPr>
              <w:t xml:space="preserve"> </w:t>
            </w:r>
            <w:r>
              <w:t>and</w:t>
            </w:r>
            <w:r>
              <w:rPr>
                <w:spacing w:val="-1"/>
              </w:rPr>
              <w:t xml:space="preserve"> </w:t>
            </w:r>
            <w:r>
              <w:t>subscales</w:t>
            </w:r>
            <w:r>
              <w:tab/>
              <w:t>24</w:t>
            </w:r>
          </w:hyperlink>
        </w:p>
        <w:p w:rsidR="00B0268C" w:rsidRDefault="00C408FB">
          <w:pPr>
            <w:pStyle w:val="TOC2"/>
            <w:numPr>
              <w:ilvl w:val="1"/>
              <w:numId w:val="34"/>
            </w:numPr>
            <w:tabs>
              <w:tab w:val="left" w:pos="889"/>
              <w:tab w:val="left" w:leader="dot" w:pos="8145"/>
            </w:tabs>
            <w:spacing w:before="102"/>
            <w:ind w:left="888"/>
            <w:jc w:val="left"/>
          </w:pPr>
          <w:hyperlink w:anchor="_bookmark52" w:history="1">
            <w:r>
              <w:t>Use of</w:t>
            </w:r>
            <w:r>
              <w:rPr>
                <w:spacing w:val="-3"/>
              </w:rPr>
              <w:t xml:space="preserve"> </w:t>
            </w:r>
            <w:r>
              <w:t>data</w:t>
            </w:r>
            <w:r>
              <w:rPr>
                <w:spacing w:val="-2"/>
              </w:rPr>
              <w:t xml:space="preserve"> </w:t>
            </w:r>
            <w:r>
              <w:t>transformation</w:t>
            </w:r>
            <w:r>
              <w:tab/>
              <w:t>24</w:t>
            </w:r>
          </w:hyperlink>
        </w:p>
        <w:p w:rsidR="00B0268C" w:rsidRDefault="00C408FB">
          <w:pPr>
            <w:pStyle w:val="TOC2"/>
            <w:numPr>
              <w:ilvl w:val="1"/>
              <w:numId w:val="34"/>
            </w:numPr>
            <w:tabs>
              <w:tab w:val="left" w:pos="889"/>
              <w:tab w:val="left" w:leader="dot" w:pos="8145"/>
            </w:tabs>
            <w:ind w:left="888"/>
            <w:jc w:val="left"/>
          </w:pPr>
          <w:hyperlink w:anchor="_bookmark53" w:history="1">
            <w:r>
              <w:t>Defining</w:t>
            </w:r>
            <w:r>
              <w:rPr>
                <w:spacing w:val="-2"/>
              </w:rPr>
              <w:t xml:space="preserve"> </w:t>
            </w:r>
            <w:r>
              <w:t>Outliers</w:t>
            </w:r>
            <w:r>
              <w:tab/>
              <w:t>24</w:t>
            </w:r>
          </w:hyperlink>
        </w:p>
        <w:p w:rsidR="00B0268C" w:rsidRDefault="00C408FB">
          <w:pPr>
            <w:pStyle w:val="TOC2"/>
            <w:numPr>
              <w:ilvl w:val="1"/>
              <w:numId w:val="34"/>
            </w:numPr>
            <w:tabs>
              <w:tab w:val="left" w:pos="889"/>
              <w:tab w:val="left" w:leader="dot" w:pos="8145"/>
            </w:tabs>
            <w:ind w:left="888"/>
            <w:jc w:val="left"/>
          </w:pPr>
          <w:hyperlink w:anchor="_bookmark54" w:history="1">
            <w:r>
              <w:t>Handling</w:t>
            </w:r>
            <w:r>
              <w:rPr>
                <w:spacing w:val="-2"/>
              </w:rPr>
              <w:t xml:space="preserve"> </w:t>
            </w:r>
            <w:r>
              <w:t>outliers</w:t>
            </w:r>
            <w:r>
              <w:tab/>
              <w:t>24</w:t>
            </w:r>
          </w:hyperlink>
        </w:p>
        <w:p w:rsidR="00B0268C" w:rsidRDefault="00C408FB">
          <w:pPr>
            <w:pStyle w:val="TOC1"/>
            <w:numPr>
              <w:ilvl w:val="1"/>
              <w:numId w:val="33"/>
            </w:numPr>
            <w:tabs>
              <w:tab w:val="left" w:pos="649"/>
              <w:tab w:val="left" w:leader="dot" w:pos="8145"/>
            </w:tabs>
            <w:spacing w:before="98"/>
            <w:jc w:val="left"/>
          </w:pPr>
          <w:hyperlink w:anchor="_bookmark55" w:history="1">
            <w:r>
              <w:t>Descriptive</w:t>
            </w:r>
            <w:r>
              <w:rPr>
                <w:spacing w:val="-4"/>
              </w:rPr>
              <w:t xml:space="preserve"> </w:t>
            </w:r>
            <w:r>
              <w:t>analysis</w:t>
            </w:r>
            <w:r>
              <w:tab/>
              <w:t>26</w:t>
            </w:r>
          </w:hyperlink>
        </w:p>
        <w:p w:rsidR="00B0268C" w:rsidRDefault="00C408FB">
          <w:pPr>
            <w:pStyle w:val="TOC2"/>
            <w:numPr>
              <w:ilvl w:val="1"/>
              <w:numId w:val="33"/>
            </w:numPr>
            <w:tabs>
              <w:tab w:val="left" w:pos="889"/>
              <w:tab w:val="left" w:leader="dot" w:pos="8145"/>
            </w:tabs>
            <w:ind w:left="888"/>
            <w:jc w:val="left"/>
          </w:pPr>
          <w:hyperlink w:anchor="_bookmark56" w:history="1">
            <w:r>
              <w:t>Flow diagram</w:t>
            </w:r>
            <w:r>
              <w:tab/>
              <w:t>26</w:t>
            </w:r>
          </w:hyperlink>
        </w:p>
        <w:p w:rsidR="00B0268C" w:rsidRDefault="00C408FB">
          <w:pPr>
            <w:pStyle w:val="TOC2"/>
            <w:numPr>
              <w:ilvl w:val="1"/>
              <w:numId w:val="33"/>
            </w:numPr>
            <w:tabs>
              <w:tab w:val="left" w:pos="889"/>
              <w:tab w:val="left" w:leader="dot" w:pos="8145"/>
            </w:tabs>
            <w:ind w:left="888"/>
            <w:jc w:val="left"/>
          </w:pPr>
          <w:hyperlink w:anchor="_bookmark57" w:history="1">
            <w:r>
              <w:t>Baseline comparability of</w:t>
            </w:r>
            <w:r>
              <w:rPr>
                <w:spacing w:val="-12"/>
              </w:rPr>
              <w:t xml:space="preserve"> </w:t>
            </w:r>
            <w:r>
              <w:t>randomised groups</w:t>
            </w:r>
            <w:r>
              <w:tab/>
              <w:t>26</w:t>
            </w:r>
          </w:hyperlink>
        </w:p>
        <w:p w:rsidR="00B0268C" w:rsidRDefault="00C408FB">
          <w:pPr>
            <w:pStyle w:val="TOC2"/>
            <w:numPr>
              <w:ilvl w:val="1"/>
              <w:numId w:val="33"/>
            </w:numPr>
            <w:tabs>
              <w:tab w:val="left" w:pos="889"/>
              <w:tab w:val="left" w:leader="dot" w:pos="8145"/>
            </w:tabs>
            <w:spacing w:before="99"/>
            <w:ind w:left="888"/>
            <w:jc w:val="left"/>
          </w:pPr>
          <w:hyperlink w:anchor="_bookmark58" w:history="1">
            <w:r>
              <w:t>Comparison of rates of adherence</w:t>
            </w:r>
            <w:r>
              <w:rPr>
                <w:spacing w:val="-4"/>
              </w:rPr>
              <w:t xml:space="preserve"> </w:t>
            </w:r>
            <w:r>
              <w:t>and</w:t>
            </w:r>
            <w:r>
              <w:rPr>
                <w:spacing w:val="-1"/>
              </w:rPr>
              <w:t xml:space="preserve"> </w:t>
            </w:r>
            <w:r>
              <w:t>follow-up</w:t>
            </w:r>
            <w:r>
              <w:tab/>
              <w:t>27</w:t>
            </w:r>
          </w:hyperlink>
        </w:p>
        <w:p w:rsidR="00B0268C" w:rsidRDefault="00C408FB">
          <w:pPr>
            <w:pStyle w:val="TOC1"/>
            <w:numPr>
              <w:ilvl w:val="1"/>
              <w:numId w:val="32"/>
            </w:numPr>
            <w:tabs>
              <w:tab w:val="left" w:pos="651"/>
              <w:tab w:val="left" w:leader="dot" w:pos="8145"/>
            </w:tabs>
            <w:jc w:val="left"/>
          </w:pPr>
          <w:hyperlink w:anchor="_bookmark59" w:history="1">
            <w:r>
              <w:t>Analysis</w:t>
            </w:r>
            <w:r>
              <w:rPr>
                <w:spacing w:val="-3"/>
              </w:rPr>
              <w:t xml:space="preserve"> </w:t>
            </w:r>
            <w:r>
              <w:t>covariates</w:t>
            </w:r>
            <w:r>
              <w:tab/>
              <w:t>27</w:t>
            </w:r>
          </w:hyperlink>
        </w:p>
        <w:p w:rsidR="00B0268C" w:rsidRDefault="00C408FB">
          <w:pPr>
            <w:pStyle w:val="TOC2"/>
            <w:numPr>
              <w:ilvl w:val="1"/>
              <w:numId w:val="32"/>
            </w:numPr>
            <w:tabs>
              <w:tab w:val="left" w:pos="889"/>
              <w:tab w:val="left" w:leader="dot" w:pos="8145"/>
            </w:tabs>
            <w:ind w:left="888" w:hanging="535"/>
            <w:jc w:val="left"/>
          </w:pPr>
          <w:hyperlink w:anchor="_bookmark60" w:history="1">
            <w:proofErr w:type="spellStart"/>
            <w:r>
              <w:t>Stratifiers</w:t>
            </w:r>
            <w:proofErr w:type="spellEnd"/>
            <w:r>
              <w:tab/>
              <w:t>27</w:t>
            </w:r>
          </w:hyperlink>
        </w:p>
        <w:p w:rsidR="00B0268C" w:rsidRDefault="00C408FB">
          <w:pPr>
            <w:pStyle w:val="TOC2"/>
            <w:numPr>
              <w:ilvl w:val="1"/>
              <w:numId w:val="32"/>
            </w:numPr>
            <w:tabs>
              <w:tab w:val="left" w:pos="889"/>
              <w:tab w:val="left" w:leader="dot" w:pos="8145"/>
            </w:tabs>
            <w:spacing w:before="99"/>
            <w:ind w:left="888" w:hanging="535"/>
            <w:jc w:val="left"/>
          </w:pPr>
          <w:hyperlink w:anchor="_bookmark61" w:history="1">
            <w:r>
              <w:t>Baseline</w:t>
            </w:r>
            <w:r>
              <w:tab/>
              <w:t>27</w:t>
            </w:r>
          </w:hyperlink>
        </w:p>
        <w:p w:rsidR="00B0268C" w:rsidRDefault="00C408FB">
          <w:pPr>
            <w:pStyle w:val="TOC1"/>
            <w:numPr>
              <w:ilvl w:val="1"/>
              <w:numId w:val="31"/>
            </w:numPr>
            <w:tabs>
              <w:tab w:val="left" w:pos="649"/>
              <w:tab w:val="left" w:leader="dot" w:pos="8145"/>
            </w:tabs>
            <w:jc w:val="left"/>
          </w:pPr>
          <w:hyperlink w:anchor="_bookmark62" w:history="1">
            <w:r>
              <w:t>Primary</w:t>
            </w:r>
            <w:r>
              <w:rPr>
                <w:spacing w:val="-8"/>
              </w:rPr>
              <w:t xml:space="preserve"> </w:t>
            </w:r>
            <w:r>
              <w:t>outcome</w:t>
            </w:r>
            <w:r>
              <w:rPr>
                <w:spacing w:val="-2"/>
              </w:rPr>
              <w:t xml:space="preserve"> </w:t>
            </w:r>
            <w:r>
              <w:t>analysis</w:t>
            </w:r>
            <w:r>
              <w:tab/>
              <w:t>27</w:t>
            </w:r>
          </w:hyperlink>
        </w:p>
        <w:p w:rsidR="00B0268C" w:rsidRDefault="00C408FB">
          <w:pPr>
            <w:pStyle w:val="TOC2"/>
            <w:numPr>
              <w:ilvl w:val="1"/>
              <w:numId w:val="31"/>
            </w:numPr>
            <w:tabs>
              <w:tab w:val="left" w:pos="889"/>
              <w:tab w:val="left" w:leader="dot" w:pos="8145"/>
            </w:tabs>
            <w:ind w:left="888"/>
            <w:jc w:val="left"/>
          </w:pPr>
          <w:hyperlink w:anchor="_bookmark63" w:history="1">
            <w:r>
              <w:t>Statistical</w:t>
            </w:r>
            <w:r>
              <w:rPr>
                <w:spacing w:val="-2"/>
              </w:rPr>
              <w:t xml:space="preserve"> </w:t>
            </w:r>
            <w:r>
              <w:t>Model</w:t>
            </w:r>
            <w:r>
              <w:tab/>
              <w:t>27</w:t>
            </w:r>
          </w:hyperlink>
        </w:p>
        <w:p w:rsidR="00B0268C" w:rsidRDefault="00C408FB">
          <w:pPr>
            <w:pStyle w:val="TOC2"/>
            <w:numPr>
              <w:ilvl w:val="1"/>
              <w:numId w:val="31"/>
            </w:numPr>
            <w:tabs>
              <w:tab w:val="left" w:pos="889"/>
              <w:tab w:val="left" w:leader="dot" w:pos="8145"/>
            </w:tabs>
            <w:spacing w:before="99"/>
            <w:ind w:left="888"/>
            <w:jc w:val="left"/>
          </w:pPr>
          <w:hyperlink w:anchor="_bookmark64" w:history="1">
            <w:r>
              <w:t>Intention to</w:t>
            </w:r>
            <w:r>
              <w:rPr>
                <w:spacing w:val="-1"/>
              </w:rPr>
              <w:t xml:space="preserve"> </w:t>
            </w:r>
            <w:r>
              <w:t>Treat</w:t>
            </w:r>
            <w:r>
              <w:rPr>
                <w:spacing w:val="-1"/>
              </w:rPr>
              <w:t xml:space="preserve"> </w:t>
            </w:r>
            <w:r>
              <w:t>Strategy</w:t>
            </w:r>
            <w:r>
              <w:tab/>
              <w:t>28</w:t>
            </w:r>
          </w:hyperlink>
        </w:p>
        <w:p w:rsidR="00B0268C" w:rsidRDefault="00C408FB">
          <w:pPr>
            <w:pStyle w:val="TOC2"/>
            <w:numPr>
              <w:ilvl w:val="1"/>
              <w:numId w:val="31"/>
            </w:numPr>
            <w:tabs>
              <w:tab w:val="left" w:pos="889"/>
              <w:tab w:val="left" w:leader="dot" w:pos="8145"/>
            </w:tabs>
            <w:ind w:left="888"/>
            <w:jc w:val="left"/>
          </w:pPr>
          <w:hyperlink w:anchor="_bookmark65" w:history="1">
            <w:r>
              <w:t>Per</w:t>
            </w:r>
            <w:r>
              <w:rPr>
                <w:spacing w:val="-5"/>
              </w:rPr>
              <w:t xml:space="preserve"> </w:t>
            </w:r>
            <w:r>
              <w:t>Protocol</w:t>
            </w:r>
            <w:r>
              <w:rPr>
                <w:spacing w:val="-4"/>
              </w:rPr>
              <w:t xml:space="preserve"> </w:t>
            </w:r>
            <w:r>
              <w:t>analysis</w:t>
            </w:r>
            <w:r>
              <w:tab/>
              <w:t>28</w:t>
            </w:r>
          </w:hyperlink>
        </w:p>
        <w:p w:rsidR="00B0268C" w:rsidRDefault="00C408FB">
          <w:pPr>
            <w:pStyle w:val="TOC2"/>
            <w:numPr>
              <w:ilvl w:val="1"/>
              <w:numId w:val="31"/>
            </w:numPr>
            <w:tabs>
              <w:tab w:val="left" w:pos="889"/>
              <w:tab w:val="left" w:leader="dot" w:pos="8145"/>
            </w:tabs>
            <w:ind w:left="888"/>
            <w:jc w:val="left"/>
          </w:pPr>
          <w:hyperlink w:anchor="_bookmark66" w:history="1">
            <w:r>
              <w:t>Concluding</w:t>
            </w:r>
            <w:r>
              <w:rPr>
                <w:spacing w:val="-1"/>
              </w:rPr>
              <w:t xml:space="preserve"> </w:t>
            </w:r>
            <w:r>
              <w:t>non-inferiority</w:t>
            </w:r>
            <w:r>
              <w:tab/>
              <w:t>28</w:t>
            </w:r>
          </w:hyperlink>
        </w:p>
        <w:p w:rsidR="00B0268C" w:rsidRDefault="00C408FB">
          <w:pPr>
            <w:pStyle w:val="TOC2"/>
            <w:numPr>
              <w:ilvl w:val="1"/>
              <w:numId w:val="31"/>
            </w:numPr>
            <w:tabs>
              <w:tab w:val="left" w:pos="889"/>
              <w:tab w:val="left" w:leader="dot" w:pos="8145"/>
            </w:tabs>
            <w:spacing w:before="98"/>
            <w:ind w:left="888"/>
            <w:jc w:val="left"/>
          </w:pPr>
          <w:hyperlink w:anchor="_bookmark67" w:history="1">
            <w:r>
              <w:t>Superiority</w:t>
            </w:r>
            <w:r>
              <w:tab/>
              <w:t>28</w:t>
            </w:r>
          </w:hyperlink>
        </w:p>
        <w:p w:rsidR="00B0268C" w:rsidRDefault="00C408FB">
          <w:pPr>
            <w:pStyle w:val="TOC2"/>
            <w:numPr>
              <w:ilvl w:val="1"/>
              <w:numId w:val="31"/>
            </w:numPr>
            <w:tabs>
              <w:tab w:val="left" w:pos="889"/>
              <w:tab w:val="left" w:leader="dot" w:pos="8145"/>
            </w:tabs>
            <w:ind w:left="888"/>
            <w:jc w:val="left"/>
          </w:pPr>
          <w:hyperlink w:anchor="_bookmark68" w:history="1">
            <w:r>
              <w:t>Subgroup</w:t>
            </w:r>
            <w:r>
              <w:rPr>
                <w:spacing w:val="-2"/>
              </w:rPr>
              <w:t xml:space="preserve"> </w:t>
            </w:r>
            <w:r>
              <w:t>analysis</w:t>
            </w:r>
            <w:r>
              <w:tab/>
              <w:t>28</w:t>
            </w:r>
          </w:hyperlink>
        </w:p>
        <w:p w:rsidR="00B0268C" w:rsidRDefault="00C408FB">
          <w:pPr>
            <w:pStyle w:val="TOC2"/>
            <w:numPr>
              <w:ilvl w:val="1"/>
              <w:numId w:val="31"/>
            </w:numPr>
            <w:tabs>
              <w:tab w:val="left" w:pos="889"/>
              <w:tab w:val="left" w:leader="dot" w:pos="8145"/>
            </w:tabs>
            <w:spacing w:before="99" w:after="132"/>
            <w:ind w:left="888"/>
            <w:jc w:val="left"/>
          </w:pPr>
          <w:hyperlink w:anchor="_bookmark69" w:history="1">
            <w:r>
              <w:t>Sensitivity to</w:t>
            </w:r>
            <w:r>
              <w:rPr>
                <w:spacing w:val="-6"/>
              </w:rPr>
              <w:t xml:space="preserve"> </w:t>
            </w:r>
            <w:r>
              <w:t>missing</w:t>
            </w:r>
            <w:r>
              <w:rPr>
                <w:spacing w:val="-1"/>
              </w:rPr>
              <w:t xml:space="preserve"> </w:t>
            </w:r>
            <w:r>
              <w:t>data</w:t>
            </w:r>
            <w:r>
              <w:tab/>
              <w:t>29</w:t>
            </w:r>
          </w:hyperlink>
        </w:p>
        <w:p w:rsidR="00B0268C" w:rsidRDefault="00C408FB">
          <w:pPr>
            <w:pStyle w:val="TOC2"/>
            <w:numPr>
              <w:ilvl w:val="1"/>
              <w:numId w:val="31"/>
            </w:numPr>
            <w:tabs>
              <w:tab w:val="left" w:pos="889"/>
              <w:tab w:val="right" w:leader="dot" w:pos="8414"/>
            </w:tabs>
            <w:spacing w:before="83"/>
            <w:ind w:left="888"/>
            <w:jc w:val="left"/>
          </w:pPr>
          <w:hyperlink w:anchor="_bookmark70" w:history="1">
            <w:r>
              <w:t>Sensitivity analysis to use of</w:t>
            </w:r>
            <w:r>
              <w:rPr>
                <w:spacing w:val="-8"/>
              </w:rPr>
              <w:t xml:space="preserve"> </w:t>
            </w:r>
            <w:r>
              <w:t>concomitant</w:t>
            </w:r>
            <w:r>
              <w:rPr>
                <w:spacing w:val="-1"/>
              </w:rPr>
              <w:t xml:space="preserve"> </w:t>
            </w:r>
            <w:r>
              <w:t>treatments</w:t>
            </w:r>
            <w:r>
              <w:tab/>
              <w:t>30</w:t>
            </w:r>
          </w:hyperlink>
        </w:p>
        <w:p w:rsidR="00B0268C" w:rsidRDefault="00C408FB">
          <w:pPr>
            <w:pStyle w:val="TOC2"/>
            <w:numPr>
              <w:ilvl w:val="1"/>
              <w:numId w:val="31"/>
            </w:numPr>
            <w:tabs>
              <w:tab w:val="left" w:pos="889"/>
              <w:tab w:val="right" w:leader="dot" w:pos="8414"/>
            </w:tabs>
            <w:ind w:left="888"/>
            <w:jc w:val="left"/>
          </w:pPr>
          <w:hyperlink w:anchor="_bookmark71" w:history="1">
            <w:r>
              <w:t>Interim</w:t>
            </w:r>
            <w:r>
              <w:rPr>
                <w:spacing w:val="-3"/>
              </w:rPr>
              <w:t xml:space="preserve"> </w:t>
            </w:r>
            <w:r>
              <w:t>analysis</w:t>
            </w:r>
            <w:r>
              <w:tab/>
              <w:t>30</w:t>
            </w:r>
          </w:hyperlink>
        </w:p>
        <w:p w:rsidR="00B0268C" w:rsidRDefault="00C408FB">
          <w:pPr>
            <w:pStyle w:val="TOC1"/>
            <w:numPr>
              <w:ilvl w:val="1"/>
              <w:numId w:val="30"/>
            </w:numPr>
            <w:tabs>
              <w:tab w:val="left" w:pos="649"/>
              <w:tab w:val="right" w:leader="dot" w:pos="8414"/>
            </w:tabs>
            <w:spacing w:before="101"/>
            <w:jc w:val="left"/>
          </w:pPr>
          <w:hyperlink w:anchor="_bookmark72" w:history="1">
            <w:r>
              <w:t>Secondary</w:t>
            </w:r>
            <w:r>
              <w:rPr>
                <w:spacing w:val="-8"/>
              </w:rPr>
              <w:t xml:space="preserve"> </w:t>
            </w:r>
            <w:r>
              <w:t>outcome analysis</w:t>
            </w:r>
            <w:r>
              <w:tab/>
              <w:t>30</w:t>
            </w:r>
          </w:hyperlink>
        </w:p>
        <w:p w:rsidR="00B0268C" w:rsidRDefault="00C408FB">
          <w:pPr>
            <w:pStyle w:val="TOC2"/>
            <w:numPr>
              <w:ilvl w:val="1"/>
              <w:numId w:val="30"/>
            </w:numPr>
            <w:tabs>
              <w:tab w:val="left" w:pos="891"/>
              <w:tab w:val="right" w:leader="dot" w:pos="8414"/>
            </w:tabs>
            <w:spacing w:before="99"/>
            <w:ind w:left="890" w:hanging="537"/>
            <w:jc w:val="left"/>
          </w:pPr>
          <w:hyperlink w:anchor="_bookmark73" w:history="1">
            <w:r>
              <w:t>Analysis of continuous outcomes</w:t>
            </w:r>
            <w:r>
              <w:tab/>
              <w:t>30</w:t>
            </w:r>
          </w:hyperlink>
        </w:p>
        <w:p w:rsidR="00B0268C" w:rsidRDefault="00C408FB">
          <w:pPr>
            <w:pStyle w:val="TOC2"/>
            <w:numPr>
              <w:ilvl w:val="1"/>
              <w:numId w:val="30"/>
            </w:numPr>
            <w:tabs>
              <w:tab w:val="left" w:pos="891"/>
              <w:tab w:val="right" w:leader="dot" w:pos="8414"/>
            </w:tabs>
            <w:ind w:left="890" w:hanging="537"/>
            <w:jc w:val="left"/>
          </w:pPr>
          <w:hyperlink w:anchor="_bookmark74" w:history="1">
            <w:r>
              <w:t>Analysis of binary</w:t>
            </w:r>
            <w:r>
              <w:rPr>
                <w:spacing w:val="-7"/>
              </w:rPr>
              <w:t xml:space="preserve"> </w:t>
            </w:r>
            <w:r>
              <w:t>outcomes</w:t>
            </w:r>
            <w:r>
              <w:tab/>
              <w:t>30</w:t>
            </w:r>
          </w:hyperlink>
        </w:p>
        <w:p w:rsidR="00B0268C" w:rsidRDefault="00C408FB">
          <w:pPr>
            <w:pStyle w:val="TOC2"/>
            <w:numPr>
              <w:ilvl w:val="1"/>
              <w:numId w:val="30"/>
            </w:numPr>
            <w:tabs>
              <w:tab w:val="left" w:pos="891"/>
              <w:tab w:val="right" w:leader="dot" w:pos="8414"/>
            </w:tabs>
            <w:spacing w:before="100"/>
            <w:ind w:left="890" w:hanging="537"/>
            <w:jc w:val="left"/>
          </w:pPr>
          <w:hyperlink w:anchor="_bookmark75" w:history="1">
            <w:r>
              <w:t>Analysis methods for secondary</w:t>
            </w:r>
            <w:r>
              <w:rPr>
                <w:spacing w:val="-7"/>
              </w:rPr>
              <w:t xml:space="preserve"> </w:t>
            </w:r>
            <w:r>
              <w:t>outcomes</w:t>
            </w:r>
            <w:r>
              <w:tab/>
              <w:t>30</w:t>
            </w:r>
          </w:hyperlink>
        </w:p>
        <w:p w:rsidR="00B0268C" w:rsidRDefault="00C408FB">
          <w:pPr>
            <w:pStyle w:val="TOC1"/>
            <w:tabs>
              <w:tab w:val="right" w:leader="dot" w:pos="8414"/>
            </w:tabs>
            <w:spacing w:before="99"/>
          </w:pPr>
          <w:hyperlink w:anchor="_bookmark76" w:history="1">
            <w:r>
              <w:t>15.0 Handling</w:t>
            </w:r>
            <w:r>
              <w:rPr>
                <w:spacing w:val="-2"/>
              </w:rPr>
              <w:t xml:space="preserve"> </w:t>
            </w:r>
            <w:r>
              <w:t>multiple comparisons</w:t>
            </w:r>
            <w:r>
              <w:tab/>
              <w:t>31</w:t>
            </w:r>
          </w:hyperlink>
        </w:p>
        <w:p w:rsidR="00B0268C" w:rsidRDefault="00C408FB">
          <w:pPr>
            <w:pStyle w:val="TOC1"/>
            <w:tabs>
              <w:tab w:val="right" w:leader="dot" w:pos="8414"/>
            </w:tabs>
            <w:spacing w:before="101"/>
          </w:pPr>
          <w:hyperlink w:anchor="_bookmark77" w:history="1">
            <w:r>
              <w:t>16.0</w:t>
            </w:r>
            <w:r>
              <w:rPr>
                <w:spacing w:val="-2"/>
              </w:rPr>
              <w:t xml:space="preserve"> </w:t>
            </w:r>
            <w:r>
              <w:t>Software</w:t>
            </w:r>
            <w:r>
              <w:tab/>
              <w:t>32</w:t>
            </w:r>
          </w:hyperlink>
        </w:p>
        <w:p w:rsidR="00B0268C" w:rsidRDefault="00C408FB">
          <w:pPr>
            <w:pStyle w:val="TOC1"/>
            <w:tabs>
              <w:tab w:val="right" w:leader="dot" w:pos="8414"/>
            </w:tabs>
          </w:pPr>
          <w:hyperlink w:anchor="_bookmark78" w:history="1">
            <w:r>
              <w:t>17.0</w:t>
            </w:r>
            <w:r>
              <w:rPr>
                <w:spacing w:val="-2"/>
              </w:rPr>
              <w:t xml:space="preserve"> </w:t>
            </w:r>
            <w:r>
              <w:t>DMC</w:t>
            </w:r>
            <w:r>
              <w:rPr>
                <w:spacing w:val="-2"/>
              </w:rPr>
              <w:t xml:space="preserve"> </w:t>
            </w:r>
            <w:r>
              <w:t>monitoring</w:t>
            </w:r>
            <w:r>
              <w:tab/>
              <w:t>32</w:t>
            </w:r>
          </w:hyperlink>
        </w:p>
        <w:p w:rsidR="00B0268C" w:rsidRDefault="00C408FB">
          <w:pPr>
            <w:pStyle w:val="TOC1"/>
            <w:tabs>
              <w:tab w:val="right" w:leader="dot" w:pos="8414"/>
            </w:tabs>
            <w:spacing w:before="99"/>
          </w:pPr>
          <w:hyperlink w:anchor="_bookmark79" w:history="1">
            <w:r>
              <w:t>18.0 Acknowledgments</w:t>
            </w:r>
            <w:r>
              <w:tab/>
              <w:t>32</w:t>
            </w:r>
          </w:hyperlink>
        </w:p>
        <w:p w:rsidR="00B0268C" w:rsidRDefault="00C408FB">
          <w:pPr>
            <w:pStyle w:val="TOC1"/>
            <w:tabs>
              <w:tab w:val="right" w:leader="dot" w:pos="8414"/>
            </w:tabs>
            <w:spacing w:before="101"/>
          </w:pPr>
          <w:hyperlink w:anchor="_bookmark80" w:history="1">
            <w:r>
              <w:t>19.0 Amendments to Versions</w:t>
            </w:r>
            <w:r>
              <w:tab/>
              <w:t>32</w:t>
            </w:r>
          </w:hyperlink>
        </w:p>
        <w:p w:rsidR="00B0268C" w:rsidRDefault="00C408FB">
          <w:pPr>
            <w:pStyle w:val="TOC1"/>
            <w:tabs>
              <w:tab w:val="right" w:leader="dot" w:pos="8414"/>
            </w:tabs>
            <w:spacing w:before="101"/>
          </w:pPr>
          <w:hyperlink w:anchor="_bookmark81" w:history="1">
            <w:r>
              <w:t>Reference</w:t>
            </w:r>
            <w:r>
              <w:rPr>
                <w:spacing w:val="-1"/>
              </w:rPr>
              <w:t xml:space="preserve"> </w:t>
            </w:r>
            <w:r>
              <w:t>list</w:t>
            </w:r>
            <w:r>
              <w:tab/>
              <w:t>34</w:t>
            </w:r>
          </w:hyperlink>
        </w:p>
        <w:p w:rsidR="00B0268C" w:rsidRDefault="00C408FB">
          <w:pPr>
            <w:pStyle w:val="TOC1"/>
            <w:tabs>
              <w:tab w:val="right" w:leader="dot" w:pos="8414"/>
            </w:tabs>
            <w:spacing w:before="99"/>
          </w:pPr>
          <w:hyperlink w:anchor="_bookmark104" w:history="1">
            <w:r>
              <w:t>Appendix I – Lists of Tables for DMC and for</w:t>
            </w:r>
            <w:r>
              <w:rPr>
                <w:spacing w:val="-4"/>
              </w:rPr>
              <w:t xml:space="preserve"> </w:t>
            </w:r>
            <w:r>
              <w:t>main trial</w:t>
            </w:r>
            <w:r>
              <w:tab/>
              <w:t>36</w:t>
            </w:r>
          </w:hyperlink>
        </w:p>
        <w:p w:rsidR="00B0268C" w:rsidRDefault="00C408FB">
          <w:pPr>
            <w:pStyle w:val="TOC1"/>
            <w:tabs>
              <w:tab w:val="right" w:leader="dot" w:pos="8414"/>
            </w:tabs>
          </w:pPr>
          <w:hyperlink w:anchor="_bookmark105" w:history="1">
            <w:r>
              <w:t>Appendix II – Record of data decisions during the</w:t>
            </w:r>
            <w:r>
              <w:rPr>
                <w:spacing w:val="-9"/>
              </w:rPr>
              <w:t xml:space="preserve"> </w:t>
            </w:r>
            <w:r>
              <w:t>blinded review</w:t>
            </w:r>
            <w:r>
              <w:tab/>
              <w:t>38</w:t>
            </w:r>
          </w:hyperlink>
        </w:p>
        <w:p w:rsidR="00B0268C" w:rsidRDefault="00C408FB">
          <w:pPr>
            <w:pStyle w:val="TOC2"/>
            <w:numPr>
              <w:ilvl w:val="1"/>
              <w:numId w:val="29"/>
            </w:numPr>
            <w:tabs>
              <w:tab w:val="left" w:pos="889"/>
              <w:tab w:val="right" w:leader="dot" w:pos="8414"/>
            </w:tabs>
          </w:pPr>
          <w:hyperlink w:anchor="_bookmark106" w:history="1">
            <w:r>
              <w:t>Record of</w:t>
            </w:r>
            <w:r>
              <w:rPr>
                <w:spacing w:val="-2"/>
              </w:rPr>
              <w:t xml:space="preserve"> </w:t>
            </w:r>
            <w:r>
              <w:t>data</w:t>
            </w:r>
            <w:r>
              <w:rPr>
                <w:spacing w:val="-3"/>
              </w:rPr>
              <w:t xml:space="preserve"> </w:t>
            </w:r>
            <w:r>
              <w:t>decisions</w:t>
            </w:r>
            <w:r>
              <w:tab/>
              <w:t>38</w:t>
            </w:r>
          </w:hyperlink>
        </w:p>
        <w:p w:rsidR="00B0268C" w:rsidRDefault="00C408FB">
          <w:pPr>
            <w:pStyle w:val="TOC2"/>
            <w:numPr>
              <w:ilvl w:val="1"/>
              <w:numId w:val="29"/>
            </w:numPr>
            <w:tabs>
              <w:tab w:val="left" w:pos="889"/>
              <w:tab w:val="right" w:leader="dot" w:pos="8414"/>
            </w:tabs>
            <w:spacing w:before="99"/>
          </w:pPr>
          <w:hyperlink w:anchor="_bookmark107" w:history="1">
            <w:r>
              <w:t>Record of</w:t>
            </w:r>
            <w:r>
              <w:rPr>
                <w:spacing w:val="-2"/>
              </w:rPr>
              <w:t xml:space="preserve"> </w:t>
            </w:r>
            <w:r>
              <w:t>analysis</w:t>
            </w:r>
            <w:r>
              <w:rPr>
                <w:spacing w:val="1"/>
              </w:rPr>
              <w:t xml:space="preserve"> </w:t>
            </w:r>
            <w:r>
              <w:t>decisions</w:t>
            </w:r>
            <w:r>
              <w:tab/>
              <w:t>38</w:t>
            </w:r>
          </w:hyperlink>
        </w:p>
        <w:p w:rsidR="00B0268C" w:rsidRDefault="00C408FB">
          <w:pPr>
            <w:pStyle w:val="TOC1"/>
            <w:tabs>
              <w:tab w:val="right" w:leader="dot" w:pos="8414"/>
            </w:tabs>
          </w:pPr>
          <w:hyperlink w:anchor="_bookmark108" w:history="1">
            <w:r>
              <w:t>Appendix III – Record of data decisions after</w:t>
            </w:r>
            <w:r>
              <w:rPr>
                <w:spacing w:val="-4"/>
              </w:rPr>
              <w:t xml:space="preserve"> </w:t>
            </w:r>
            <w:r>
              <w:t>the</w:t>
            </w:r>
            <w:r>
              <w:rPr>
                <w:spacing w:val="1"/>
              </w:rPr>
              <w:t xml:space="preserve"> </w:t>
            </w:r>
            <w:r>
              <w:t>blind-break</w:t>
            </w:r>
            <w:r>
              <w:tab/>
              <w:t>39</w:t>
            </w:r>
          </w:hyperlink>
        </w:p>
        <w:p w:rsidR="00B0268C" w:rsidRDefault="00C408FB">
          <w:pPr>
            <w:pStyle w:val="TOC3"/>
            <w:numPr>
              <w:ilvl w:val="1"/>
              <w:numId w:val="28"/>
            </w:numPr>
            <w:tabs>
              <w:tab w:val="left" w:pos="889"/>
              <w:tab w:val="left" w:leader="dot" w:pos="5344"/>
            </w:tabs>
            <w:rPr>
              <w:b w:val="0"/>
              <w:i w:val="0"/>
              <w:sz w:val="24"/>
            </w:rPr>
          </w:pPr>
          <w:r>
            <w:rPr>
              <w:i w:val="0"/>
              <w:sz w:val="24"/>
            </w:rPr>
            <w:t>Record of</w:t>
          </w:r>
          <w:r>
            <w:rPr>
              <w:i w:val="0"/>
              <w:spacing w:val="-3"/>
              <w:sz w:val="24"/>
            </w:rPr>
            <w:t xml:space="preserve"> </w:t>
          </w:r>
          <w:r>
            <w:rPr>
              <w:i w:val="0"/>
              <w:sz w:val="24"/>
            </w:rPr>
            <w:t>data</w:t>
          </w:r>
          <w:r>
            <w:rPr>
              <w:i w:val="0"/>
              <w:spacing w:val="-4"/>
              <w:sz w:val="24"/>
            </w:rPr>
            <w:t xml:space="preserve"> </w:t>
          </w:r>
          <w:r>
            <w:rPr>
              <w:i w:val="0"/>
              <w:sz w:val="24"/>
            </w:rPr>
            <w:t>decisions</w:t>
          </w:r>
          <w:r>
            <w:rPr>
              <w:i w:val="0"/>
              <w:sz w:val="24"/>
            </w:rPr>
            <w:tab/>
          </w:r>
          <w:r>
            <w:rPr>
              <w:b w:val="0"/>
              <w:i w:val="0"/>
              <w:sz w:val="24"/>
            </w:rPr>
            <w:t>Error! Bookmark not</w:t>
          </w:r>
          <w:r>
            <w:rPr>
              <w:b w:val="0"/>
              <w:i w:val="0"/>
              <w:spacing w:val="-12"/>
              <w:sz w:val="24"/>
            </w:rPr>
            <w:t xml:space="preserve"> </w:t>
          </w:r>
          <w:r>
            <w:rPr>
              <w:b w:val="0"/>
              <w:i w:val="0"/>
              <w:sz w:val="24"/>
            </w:rPr>
            <w:t>defined.</w:t>
          </w:r>
        </w:p>
        <w:p w:rsidR="00B0268C" w:rsidRDefault="00C408FB">
          <w:pPr>
            <w:pStyle w:val="TOC2"/>
            <w:numPr>
              <w:ilvl w:val="1"/>
              <w:numId w:val="28"/>
            </w:numPr>
            <w:tabs>
              <w:tab w:val="left" w:pos="889"/>
              <w:tab w:val="right" w:leader="dot" w:pos="8414"/>
            </w:tabs>
            <w:spacing w:before="99"/>
          </w:pPr>
          <w:hyperlink w:anchor="_bookmark109" w:history="1">
            <w:r>
              <w:t>Record of</w:t>
            </w:r>
            <w:r>
              <w:rPr>
                <w:spacing w:val="-2"/>
              </w:rPr>
              <w:t xml:space="preserve"> </w:t>
            </w:r>
            <w:r>
              <w:t>analysis</w:t>
            </w:r>
            <w:r>
              <w:rPr>
                <w:spacing w:val="1"/>
              </w:rPr>
              <w:t xml:space="preserve"> </w:t>
            </w:r>
            <w:r>
              <w:t>decisions</w:t>
            </w:r>
            <w:r>
              <w:tab/>
              <w:t>39</w:t>
            </w:r>
          </w:hyperlink>
        </w:p>
        <w:p w:rsidR="00B0268C" w:rsidRDefault="00C408FB">
          <w:pPr>
            <w:pStyle w:val="TOC1"/>
            <w:tabs>
              <w:tab w:val="right" w:leader="dot" w:pos="8414"/>
            </w:tabs>
          </w:pPr>
          <w:hyperlink w:anchor="_bookmark110" w:history="1">
            <w:r>
              <w:t>Signatures</w:t>
            </w:r>
            <w:r>
              <w:tab/>
              <w:t>40</w:t>
            </w:r>
          </w:hyperlink>
        </w:p>
      </w:sdtContent>
    </w:sdt>
    <w:p w:rsidR="00B0268C" w:rsidRDefault="00B0268C">
      <w:pPr>
        <w:sectPr w:rsidR="00B0268C">
          <w:type w:val="continuous"/>
          <w:pgSz w:w="11910" w:h="16840"/>
          <w:pgMar w:top="1047" w:right="1360" w:bottom="1864" w:left="1360" w:header="720" w:footer="720" w:gutter="0"/>
          <w:cols w:space="720"/>
        </w:sectPr>
      </w:pPr>
    </w:p>
    <w:p w:rsidR="00B0268C" w:rsidRDefault="00C408FB">
      <w:pPr>
        <w:spacing w:before="86"/>
        <w:ind w:left="114"/>
        <w:rPr>
          <w:b/>
          <w:sz w:val="23"/>
        </w:rPr>
      </w:pPr>
      <w:r>
        <w:rPr>
          <w:b/>
          <w:sz w:val="23"/>
        </w:rPr>
        <w:lastRenderedPageBreak/>
        <w:t>ABBREVIATIONS:</w:t>
      </w:r>
    </w:p>
    <w:p w:rsidR="00B0268C" w:rsidRDefault="00B0268C">
      <w:pPr>
        <w:pStyle w:val="BodyText"/>
        <w:spacing w:before="6"/>
        <w:rPr>
          <w:b/>
          <w:sz w:val="35"/>
        </w:rPr>
      </w:pPr>
    </w:p>
    <w:p w:rsidR="00B0268C" w:rsidRDefault="00C408FB">
      <w:pPr>
        <w:pStyle w:val="BodyText"/>
        <w:tabs>
          <w:tab w:val="left" w:pos="3985"/>
        </w:tabs>
        <w:ind w:left="114"/>
      </w:pPr>
      <w:r>
        <w:t>BCVA</w:t>
      </w:r>
      <w:r>
        <w:tab/>
        <w:t>Best Corrected visual</w:t>
      </w:r>
      <w:r>
        <w:rPr>
          <w:spacing w:val="-1"/>
        </w:rPr>
        <w:t xml:space="preserve"> </w:t>
      </w:r>
      <w:r>
        <w:t>acuity</w:t>
      </w:r>
    </w:p>
    <w:p w:rsidR="00B0268C" w:rsidRDefault="00C408FB">
      <w:pPr>
        <w:pStyle w:val="BodyText"/>
        <w:tabs>
          <w:tab w:val="left" w:pos="3985"/>
        </w:tabs>
        <w:ind w:left="114"/>
      </w:pPr>
      <w:r>
        <w:t>CFP</w:t>
      </w:r>
      <w:r>
        <w:tab/>
        <w:t>Colour Fundus</w:t>
      </w:r>
      <w:r>
        <w:rPr>
          <w:spacing w:val="-3"/>
        </w:rPr>
        <w:t xml:space="preserve"> </w:t>
      </w:r>
      <w:r>
        <w:t>Photography</w:t>
      </w:r>
    </w:p>
    <w:p w:rsidR="00B0268C" w:rsidRDefault="00C408FB">
      <w:pPr>
        <w:pStyle w:val="BodyText"/>
        <w:tabs>
          <w:tab w:val="left" w:pos="3985"/>
        </w:tabs>
        <w:ind w:left="114"/>
      </w:pPr>
      <w:proofErr w:type="spellStart"/>
      <w:proofErr w:type="gramStart"/>
      <w:r>
        <w:t>eCRF</w:t>
      </w:r>
      <w:proofErr w:type="spellEnd"/>
      <w:proofErr w:type="gramEnd"/>
      <w:r>
        <w:tab/>
        <w:t>Electronic Case Report</w:t>
      </w:r>
      <w:r>
        <w:rPr>
          <w:spacing w:val="-3"/>
        </w:rPr>
        <w:t xml:space="preserve"> </w:t>
      </w:r>
      <w:r>
        <w:t>Form</w:t>
      </w:r>
    </w:p>
    <w:p w:rsidR="00B0268C" w:rsidRDefault="00C408FB">
      <w:pPr>
        <w:pStyle w:val="BodyText"/>
        <w:tabs>
          <w:tab w:val="left" w:pos="3985"/>
        </w:tabs>
        <w:ind w:left="114"/>
      </w:pPr>
      <w:r>
        <w:t>CSRI</w:t>
      </w:r>
      <w:r>
        <w:tab/>
        <w:t>Client Service Receipt Inventory</w:t>
      </w:r>
    </w:p>
    <w:p w:rsidR="00B0268C" w:rsidRDefault="00C408FB">
      <w:pPr>
        <w:pStyle w:val="BodyText"/>
        <w:tabs>
          <w:tab w:val="left" w:pos="3985"/>
        </w:tabs>
        <w:ind w:left="114"/>
      </w:pPr>
      <w:r>
        <w:t>CST</w:t>
      </w:r>
      <w:r>
        <w:tab/>
        <w:t>Central Subfield</w:t>
      </w:r>
      <w:r>
        <w:rPr>
          <w:spacing w:val="-1"/>
        </w:rPr>
        <w:t xml:space="preserve"> </w:t>
      </w:r>
      <w:r>
        <w:t>Thickness</w:t>
      </w:r>
    </w:p>
    <w:p w:rsidR="00B0268C" w:rsidRDefault="00C408FB">
      <w:pPr>
        <w:pStyle w:val="BodyText"/>
        <w:tabs>
          <w:tab w:val="left" w:pos="3985"/>
        </w:tabs>
        <w:ind w:left="114"/>
      </w:pPr>
      <w:r>
        <w:t>CTU</w:t>
      </w:r>
      <w:r>
        <w:tab/>
        <w:t>Clinical Trials</w:t>
      </w:r>
      <w:r>
        <w:rPr>
          <w:spacing w:val="-1"/>
        </w:rPr>
        <w:t xml:space="preserve"> </w:t>
      </w:r>
      <w:r>
        <w:t>Unit</w:t>
      </w:r>
    </w:p>
    <w:p w:rsidR="00B0268C" w:rsidRDefault="00C408FB">
      <w:pPr>
        <w:pStyle w:val="BodyText"/>
        <w:tabs>
          <w:tab w:val="left" w:pos="3985"/>
        </w:tabs>
        <w:ind w:left="114"/>
      </w:pPr>
      <w:r>
        <w:t>CVI</w:t>
      </w:r>
      <w:r>
        <w:tab/>
        <w:t>Certificate of Visual</w:t>
      </w:r>
      <w:r>
        <w:rPr>
          <w:spacing w:val="3"/>
        </w:rPr>
        <w:t xml:space="preserve"> </w:t>
      </w:r>
      <w:r>
        <w:t>Impairment</w:t>
      </w:r>
    </w:p>
    <w:p w:rsidR="00B0268C" w:rsidRDefault="00C408FB">
      <w:pPr>
        <w:pStyle w:val="BodyText"/>
        <w:tabs>
          <w:tab w:val="left" w:pos="3985"/>
        </w:tabs>
        <w:ind w:left="114"/>
      </w:pPr>
      <w:r>
        <w:t>DA</w:t>
      </w:r>
      <w:r>
        <w:tab/>
        <w:t>Disk</w:t>
      </w:r>
      <w:r>
        <w:rPr>
          <w:spacing w:val="-1"/>
        </w:rPr>
        <w:t xml:space="preserve"> </w:t>
      </w:r>
      <w:r>
        <w:t>areas</w:t>
      </w:r>
    </w:p>
    <w:p w:rsidR="00B0268C" w:rsidRDefault="00C408FB">
      <w:pPr>
        <w:pStyle w:val="BodyText"/>
        <w:tabs>
          <w:tab w:val="left" w:pos="3985"/>
        </w:tabs>
        <w:ind w:left="114"/>
      </w:pPr>
      <w:r>
        <w:t>DMC</w:t>
      </w:r>
      <w:r>
        <w:tab/>
        <w:t>Data Monitoring</w:t>
      </w:r>
      <w:r>
        <w:rPr>
          <w:spacing w:val="-3"/>
        </w:rPr>
        <w:t xml:space="preserve"> </w:t>
      </w:r>
      <w:r>
        <w:t>Committee</w:t>
      </w:r>
    </w:p>
    <w:p w:rsidR="00B0268C" w:rsidRDefault="00C408FB">
      <w:pPr>
        <w:pStyle w:val="BodyText"/>
        <w:tabs>
          <w:tab w:val="left" w:pos="3985"/>
        </w:tabs>
        <w:ind w:left="114"/>
      </w:pPr>
      <w:r>
        <w:t>DMO</w:t>
      </w:r>
      <w:r>
        <w:tab/>
        <w:t>Diabetic Macular</w:t>
      </w:r>
      <w:r>
        <w:rPr>
          <w:spacing w:val="-2"/>
        </w:rPr>
        <w:t xml:space="preserve"> </w:t>
      </w:r>
      <w:r>
        <w:t>Oedema</w:t>
      </w:r>
    </w:p>
    <w:p w:rsidR="00B0268C" w:rsidRDefault="00C408FB">
      <w:pPr>
        <w:pStyle w:val="BodyText"/>
        <w:tabs>
          <w:tab w:val="left" w:pos="3985"/>
        </w:tabs>
        <w:ind w:left="114"/>
      </w:pPr>
      <w:r>
        <w:t>EMA</w:t>
      </w:r>
      <w:r>
        <w:tab/>
        <w:t>European Medicines</w:t>
      </w:r>
      <w:r>
        <w:rPr>
          <w:spacing w:val="-1"/>
        </w:rPr>
        <w:t xml:space="preserve"> </w:t>
      </w:r>
      <w:r>
        <w:t>Agency</w:t>
      </w:r>
    </w:p>
    <w:p w:rsidR="00B0268C" w:rsidRDefault="00C408FB">
      <w:pPr>
        <w:pStyle w:val="BodyText"/>
        <w:tabs>
          <w:tab w:val="left" w:pos="3985"/>
        </w:tabs>
        <w:ind w:left="114"/>
      </w:pPr>
      <w:r>
        <w:t>ERM</w:t>
      </w:r>
      <w:r>
        <w:tab/>
      </w:r>
      <w:proofErr w:type="spellStart"/>
      <w:r>
        <w:t>Epiretinal</w:t>
      </w:r>
      <w:proofErr w:type="spellEnd"/>
      <w:r>
        <w:rPr>
          <w:spacing w:val="-1"/>
        </w:rPr>
        <w:t xml:space="preserve"> </w:t>
      </w:r>
      <w:r>
        <w:t>Membranes</w:t>
      </w:r>
    </w:p>
    <w:p w:rsidR="00B0268C" w:rsidRDefault="00C408FB">
      <w:pPr>
        <w:pStyle w:val="BodyText"/>
        <w:tabs>
          <w:tab w:val="left" w:pos="3985"/>
        </w:tabs>
        <w:ind w:left="114"/>
      </w:pPr>
      <w:r>
        <w:t>EQ-5D</w:t>
      </w:r>
      <w:r>
        <w:tab/>
        <w:t>Euro Quality of life</w:t>
      </w:r>
      <w:r>
        <w:rPr>
          <w:spacing w:val="-7"/>
        </w:rPr>
        <w:t xml:space="preserve"> </w:t>
      </w:r>
      <w:r>
        <w:t>questionnaire</w:t>
      </w:r>
    </w:p>
    <w:p w:rsidR="00B0268C" w:rsidRDefault="00C408FB">
      <w:pPr>
        <w:pStyle w:val="BodyText"/>
        <w:tabs>
          <w:tab w:val="left" w:pos="3985"/>
        </w:tabs>
        <w:ind w:left="114"/>
      </w:pPr>
      <w:r>
        <w:t>ETDRS</w:t>
      </w:r>
      <w:r>
        <w:tab/>
        <w:t>Early Treatment Diabetic Retinopathy</w:t>
      </w:r>
      <w:r>
        <w:rPr>
          <w:spacing w:val="-9"/>
        </w:rPr>
        <w:t xml:space="preserve"> </w:t>
      </w:r>
      <w:r>
        <w:t>Study</w:t>
      </w:r>
    </w:p>
    <w:p w:rsidR="00B0268C" w:rsidRDefault="00C408FB">
      <w:pPr>
        <w:pStyle w:val="BodyText"/>
        <w:tabs>
          <w:tab w:val="left" w:pos="3985"/>
        </w:tabs>
        <w:spacing w:before="1"/>
        <w:ind w:left="114"/>
      </w:pPr>
      <w:r>
        <w:t>FDA</w:t>
      </w:r>
      <w:r>
        <w:tab/>
        <w:t>Food and Drug</w:t>
      </w:r>
      <w:r>
        <w:rPr>
          <w:spacing w:val="-4"/>
        </w:rPr>
        <w:t xml:space="preserve"> </w:t>
      </w:r>
      <w:r>
        <w:t>Administration</w:t>
      </w:r>
    </w:p>
    <w:p w:rsidR="00B0268C" w:rsidRDefault="00C408FB">
      <w:pPr>
        <w:pStyle w:val="BodyText"/>
        <w:tabs>
          <w:tab w:val="left" w:pos="3985"/>
        </w:tabs>
        <w:ind w:left="114"/>
      </w:pPr>
      <w:r>
        <w:t>FFA</w:t>
      </w:r>
      <w:r>
        <w:tab/>
        <w:t>Fundus Fluorescein</w:t>
      </w:r>
      <w:r>
        <w:rPr>
          <w:spacing w:val="-1"/>
        </w:rPr>
        <w:t xml:space="preserve"> </w:t>
      </w:r>
      <w:r>
        <w:t>Angiography</w:t>
      </w:r>
    </w:p>
    <w:p w:rsidR="00B0268C" w:rsidRDefault="00C408FB">
      <w:pPr>
        <w:pStyle w:val="BodyText"/>
        <w:tabs>
          <w:tab w:val="left" w:pos="3985"/>
        </w:tabs>
        <w:ind w:left="4084" w:right="119" w:hanging="3971"/>
      </w:pPr>
      <w:r>
        <w:t>HEDMAP</w:t>
      </w:r>
      <w:r>
        <w:tab/>
        <w:t>Health Economic and Decision Modelling Analysis Plan</w:t>
      </w:r>
    </w:p>
    <w:p w:rsidR="00B0268C" w:rsidRDefault="00C408FB">
      <w:pPr>
        <w:pStyle w:val="BodyText"/>
        <w:tabs>
          <w:tab w:val="left" w:pos="3985"/>
        </w:tabs>
        <w:ind w:left="114"/>
      </w:pPr>
      <w:r>
        <w:t>ICH</w:t>
      </w:r>
      <w:r>
        <w:tab/>
        <w:t>International Conference on</w:t>
      </w:r>
      <w:r>
        <w:rPr>
          <w:spacing w:val="-1"/>
        </w:rPr>
        <w:t xml:space="preserve"> </w:t>
      </w:r>
      <w:r>
        <w:t>Harmonization</w:t>
      </w:r>
    </w:p>
    <w:p w:rsidR="00B0268C" w:rsidRDefault="00C408FB">
      <w:pPr>
        <w:pStyle w:val="BodyText"/>
        <w:tabs>
          <w:tab w:val="left" w:pos="3985"/>
        </w:tabs>
        <w:ind w:left="114"/>
      </w:pPr>
      <w:r>
        <w:t>IMP</w:t>
      </w:r>
      <w:r>
        <w:tab/>
        <w:t>Investigational Medicinal</w:t>
      </w:r>
      <w:r>
        <w:rPr>
          <w:spacing w:val="-1"/>
        </w:rPr>
        <w:t xml:space="preserve"> </w:t>
      </w:r>
      <w:r>
        <w:t>Product</w:t>
      </w:r>
    </w:p>
    <w:p w:rsidR="00B0268C" w:rsidRDefault="00C408FB">
      <w:pPr>
        <w:pStyle w:val="BodyText"/>
        <w:tabs>
          <w:tab w:val="left" w:pos="3985"/>
        </w:tabs>
        <w:ind w:left="3985" w:right="119" w:hanging="3872"/>
      </w:pPr>
      <w:r>
        <w:t>ISRCTN</w:t>
      </w:r>
      <w:r>
        <w:tab/>
        <w:t>International Standard Randomised Clinical Trials Number</w:t>
      </w:r>
    </w:p>
    <w:p w:rsidR="00B0268C" w:rsidRDefault="00C408FB">
      <w:pPr>
        <w:pStyle w:val="BodyText"/>
        <w:tabs>
          <w:tab w:val="left" w:pos="3985"/>
        </w:tabs>
        <w:ind w:left="114"/>
      </w:pPr>
      <w:r>
        <w:t>ITT</w:t>
      </w:r>
      <w:r>
        <w:tab/>
        <w:t>Intention to</w:t>
      </w:r>
      <w:r>
        <w:rPr>
          <w:spacing w:val="-1"/>
        </w:rPr>
        <w:t xml:space="preserve"> </w:t>
      </w:r>
      <w:r>
        <w:t>treat</w:t>
      </w:r>
    </w:p>
    <w:p w:rsidR="00B0268C" w:rsidRDefault="00C408FB">
      <w:pPr>
        <w:pStyle w:val="BodyText"/>
        <w:tabs>
          <w:tab w:val="left" w:pos="3985"/>
        </w:tabs>
        <w:ind w:left="114"/>
      </w:pPr>
      <w:r>
        <w:t>LME</w:t>
      </w:r>
      <w:r>
        <w:tab/>
        <w:t>Linear mixed effects</w:t>
      </w:r>
      <w:r>
        <w:rPr>
          <w:spacing w:val="-1"/>
        </w:rPr>
        <w:t xml:space="preserve"> </w:t>
      </w:r>
      <w:r>
        <w:t>model</w:t>
      </w:r>
    </w:p>
    <w:p w:rsidR="00B0268C" w:rsidRDefault="00C408FB">
      <w:pPr>
        <w:pStyle w:val="BodyText"/>
        <w:tabs>
          <w:tab w:val="left" w:pos="3985"/>
        </w:tabs>
        <w:ind w:left="114"/>
      </w:pPr>
      <w:r>
        <w:t>NPDR</w:t>
      </w:r>
      <w:r>
        <w:tab/>
        <w:t>Non Proliferative Diabetic</w:t>
      </w:r>
      <w:r>
        <w:rPr>
          <w:spacing w:val="-3"/>
        </w:rPr>
        <w:t xml:space="preserve"> </w:t>
      </w:r>
      <w:r>
        <w:t>Retinopathy</w:t>
      </w:r>
    </w:p>
    <w:p w:rsidR="00B0268C" w:rsidRDefault="00C408FB">
      <w:pPr>
        <w:pStyle w:val="BodyText"/>
        <w:tabs>
          <w:tab w:val="left" w:pos="3985"/>
        </w:tabs>
        <w:ind w:left="114"/>
      </w:pPr>
      <w:r>
        <w:t>NVD</w:t>
      </w:r>
      <w:r>
        <w:tab/>
        <w:t>Neovascularisation</w:t>
      </w:r>
      <w:r>
        <w:rPr>
          <w:spacing w:val="-1"/>
        </w:rPr>
        <w:t xml:space="preserve"> </w:t>
      </w:r>
      <w:r>
        <w:t>Disc</w:t>
      </w:r>
    </w:p>
    <w:p w:rsidR="00B0268C" w:rsidRDefault="00C408FB">
      <w:pPr>
        <w:pStyle w:val="BodyText"/>
        <w:tabs>
          <w:tab w:val="left" w:pos="3985"/>
        </w:tabs>
        <w:ind w:left="114"/>
      </w:pPr>
      <w:r>
        <w:t>NVE</w:t>
      </w:r>
      <w:r>
        <w:tab/>
        <w:t>Neovascularisation</w:t>
      </w:r>
      <w:r>
        <w:rPr>
          <w:spacing w:val="-1"/>
        </w:rPr>
        <w:t xml:space="preserve"> </w:t>
      </w:r>
      <w:r>
        <w:t>elsewhere</w:t>
      </w:r>
    </w:p>
    <w:p w:rsidR="00B0268C" w:rsidRDefault="00C408FB">
      <w:pPr>
        <w:pStyle w:val="BodyText"/>
        <w:tabs>
          <w:tab w:val="left" w:pos="3985"/>
        </w:tabs>
        <w:spacing w:before="1"/>
        <w:ind w:left="114"/>
      </w:pPr>
      <w:r>
        <w:t>OCT</w:t>
      </w:r>
      <w:r>
        <w:tab/>
        <w:t>Optical Coherence</w:t>
      </w:r>
      <w:r>
        <w:rPr>
          <w:spacing w:val="-2"/>
        </w:rPr>
        <w:t xml:space="preserve"> </w:t>
      </w:r>
      <w:r>
        <w:t>Tomography</w:t>
      </w:r>
    </w:p>
    <w:p w:rsidR="00B0268C" w:rsidRDefault="00C408FB">
      <w:pPr>
        <w:pStyle w:val="BodyText"/>
        <w:tabs>
          <w:tab w:val="left" w:pos="3985"/>
        </w:tabs>
        <w:ind w:left="114"/>
      </w:pPr>
      <w:r>
        <w:t>PDR</w:t>
      </w:r>
      <w:r>
        <w:tab/>
        <w:t>Proliferative Diabetic</w:t>
      </w:r>
      <w:r>
        <w:rPr>
          <w:spacing w:val="-2"/>
        </w:rPr>
        <w:t xml:space="preserve"> </w:t>
      </w:r>
      <w:r>
        <w:t>Retinopathy</w:t>
      </w:r>
    </w:p>
    <w:p w:rsidR="00B0268C" w:rsidRDefault="00C408FB">
      <w:pPr>
        <w:pStyle w:val="BodyText"/>
        <w:tabs>
          <w:tab w:val="left" w:pos="3985"/>
        </w:tabs>
        <w:ind w:left="114"/>
      </w:pPr>
      <w:r>
        <w:t>PP</w:t>
      </w:r>
      <w:r>
        <w:tab/>
        <w:t>Per</w:t>
      </w:r>
      <w:r>
        <w:rPr>
          <w:spacing w:val="-1"/>
        </w:rPr>
        <w:t xml:space="preserve"> </w:t>
      </w:r>
      <w:r>
        <w:t>protocol</w:t>
      </w:r>
    </w:p>
    <w:p w:rsidR="00B0268C" w:rsidRDefault="00C408FB">
      <w:pPr>
        <w:pStyle w:val="BodyText"/>
        <w:tabs>
          <w:tab w:val="left" w:pos="3985"/>
        </w:tabs>
        <w:ind w:left="114"/>
      </w:pPr>
      <w:r>
        <w:t>RCT</w:t>
      </w:r>
      <w:r>
        <w:tab/>
        <w:t>Randomised Control</w:t>
      </w:r>
      <w:r>
        <w:rPr>
          <w:spacing w:val="-1"/>
        </w:rPr>
        <w:t xml:space="preserve"> </w:t>
      </w:r>
      <w:r>
        <w:t>Trial</w:t>
      </w:r>
    </w:p>
    <w:p w:rsidR="00B0268C" w:rsidRDefault="00C408FB">
      <w:pPr>
        <w:pStyle w:val="BodyText"/>
        <w:tabs>
          <w:tab w:val="left" w:pos="3985"/>
        </w:tabs>
        <w:ind w:left="114"/>
      </w:pPr>
      <w:r>
        <w:t>REC</w:t>
      </w:r>
      <w:r>
        <w:tab/>
        <w:t>Research Ethics</w:t>
      </w:r>
      <w:r>
        <w:rPr>
          <w:spacing w:val="1"/>
        </w:rPr>
        <w:t xml:space="preserve"> </w:t>
      </w:r>
      <w:r>
        <w:t>Committee</w:t>
      </w:r>
    </w:p>
    <w:p w:rsidR="00B0268C" w:rsidRDefault="00C408FB">
      <w:pPr>
        <w:pStyle w:val="BodyText"/>
        <w:tabs>
          <w:tab w:val="left" w:pos="3985"/>
        </w:tabs>
        <w:ind w:left="114"/>
      </w:pPr>
      <w:r>
        <w:t>SAR</w:t>
      </w:r>
      <w:r>
        <w:tab/>
        <w:t>Serious Adverse</w:t>
      </w:r>
      <w:r>
        <w:rPr>
          <w:spacing w:val="-3"/>
        </w:rPr>
        <w:t xml:space="preserve"> </w:t>
      </w:r>
      <w:r>
        <w:t>Reaction</w:t>
      </w:r>
    </w:p>
    <w:p w:rsidR="00B0268C" w:rsidRDefault="00C408FB">
      <w:pPr>
        <w:pStyle w:val="BodyText"/>
        <w:tabs>
          <w:tab w:val="left" w:pos="3985"/>
        </w:tabs>
        <w:ind w:left="114"/>
      </w:pPr>
      <w:r>
        <w:t>SAP</w:t>
      </w:r>
      <w:r>
        <w:tab/>
        <w:t>Statistical Analysis</w:t>
      </w:r>
      <w:r>
        <w:rPr>
          <w:spacing w:val="-1"/>
        </w:rPr>
        <w:t xml:space="preserve"> </w:t>
      </w:r>
      <w:r>
        <w:t>Plan</w:t>
      </w:r>
    </w:p>
    <w:p w:rsidR="00B0268C" w:rsidRDefault="00C408FB">
      <w:pPr>
        <w:pStyle w:val="BodyText"/>
        <w:tabs>
          <w:tab w:val="left" w:pos="3985"/>
        </w:tabs>
        <w:ind w:left="114"/>
      </w:pPr>
      <w:r>
        <w:t>SOP</w:t>
      </w:r>
      <w:r>
        <w:tab/>
        <w:t>Standard Operating</w:t>
      </w:r>
      <w:r>
        <w:rPr>
          <w:spacing w:val="-4"/>
        </w:rPr>
        <w:t xml:space="preserve"> </w:t>
      </w:r>
      <w:r>
        <w:t>Procedure</w:t>
      </w:r>
    </w:p>
    <w:p w:rsidR="00B0268C" w:rsidRDefault="00C408FB">
      <w:pPr>
        <w:pStyle w:val="BodyText"/>
        <w:tabs>
          <w:tab w:val="left" w:pos="3985"/>
        </w:tabs>
        <w:ind w:left="114"/>
      </w:pPr>
      <w:r>
        <w:t>TSC</w:t>
      </w:r>
      <w:r>
        <w:tab/>
        <w:t>Trial Steering</w:t>
      </w:r>
      <w:r>
        <w:rPr>
          <w:spacing w:val="-4"/>
        </w:rPr>
        <w:t xml:space="preserve"> </w:t>
      </w:r>
      <w:r>
        <w:t>Committee</w:t>
      </w:r>
    </w:p>
    <w:p w:rsidR="00B0268C" w:rsidRDefault="00C408FB">
      <w:pPr>
        <w:pStyle w:val="BodyText"/>
        <w:tabs>
          <w:tab w:val="left" w:pos="3985"/>
        </w:tabs>
        <w:ind w:left="114"/>
      </w:pPr>
      <w:r>
        <w:t>UK</w:t>
      </w:r>
      <w:r>
        <w:tab/>
        <w:t>United</w:t>
      </w:r>
      <w:r>
        <w:rPr>
          <w:spacing w:val="-1"/>
        </w:rPr>
        <w:t xml:space="preserve"> </w:t>
      </w:r>
      <w:r>
        <w:t>Kingdom</w:t>
      </w:r>
    </w:p>
    <w:p w:rsidR="00B0268C" w:rsidRDefault="00C408FB">
      <w:pPr>
        <w:pStyle w:val="BodyText"/>
        <w:tabs>
          <w:tab w:val="left" w:pos="3985"/>
        </w:tabs>
        <w:ind w:left="114"/>
      </w:pPr>
      <w:r>
        <w:t>VA</w:t>
      </w:r>
      <w:r>
        <w:tab/>
        <w:t>Visual Acuity</w:t>
      </w:r>
    </w:p>
    <w:p w:rsidR="00B0268C" w:rsidRDefault="00C408FB">
      <w:pPr>
        <w:pStyle w:val="BodyText"/>
        <w:tabs>
          <w:tab w:val="left" w:pos="3985"/>
        </w:tabs>
        <w:ind w:left="114"/>
      </w:pPr>
      <w:r>
        <w:t>VAS</w:t>
      </w:r>
      <w:r>
        <w:tab/>
        <w:t>Visual Analogue</w:t>
      </w:r>
      <w:r>
        <w:rPr>
          <w:spacing w:val="-2"/>
        </w:rPr>
        <w:t xml:space="preserve"> </w:t>
      </w:r>
      <w:r>
        <w:t>Scale</w:t>
      </w:r>
    </w:p>
    <w:p w:rsidR="00B0268C" w:rsidRDefault="00C408FB">
      <w:pPr>
        <w:pStyle w:val="BodyText"/>
        <w:tabs>
          <w:tab w:val="left" w:pos="3985"/>
        </w:tabs>
        <w:ind w:left="114"/>
      </w:pPr>
      <w:r>
        <w:t>VEGF</w:t>
      </w:r>
      <w:r>
        <w:tab/>
        <w:t>Vascular Endothelial Growth</w:t>
      </w:r>
      <w:r>
        <w:rPr>
          <w:spacing w:val="-3"/>
        </w:rPr>
        <w:t xml:space="preserve"> </w:t>
      </w:r>
      <w:r>
        <w:t>Factor</w:t>
      </w:r>
    </w:p>
    <w:p w:rsidR="00B0268C" w:rsidRDefault="00C408FB">
      <w:pPr>
        <w:pStyle w:val="BodyText"/>
        <w:tabs>
          <w:tab w:val="left" w:pos="3985"/>
        </w:tabs>
        <w:ind w:left="114"/>
      </w:pPr>
      <w:r>
        <w:t>VFQ-25</w:t>
      </w:r>
      <w:r>
        <w:tab/>
        <w:t>Visual Function</w:t>
      </w:r>
      <w:r>
        <w:rPr>
          <w:spacing w:val="-1"/>
        </w:rPr>
        <w:t xml:space="preserve"> </w:t>
      </w:r>
      <w:r>
        <w:t>Questionnaire</w:t>
      </w:r>
    </w:p>
    <w:p w:rsidR="00B0268C" w:rsidRDefault="00C408FB">
      <w:pPr>
        <w:pStyle w:val="BodyText"/>
        <w:tabs>
          <w:tab w:val="left" w:pos="3985"/>
        </w:tabs>
        <w:spacing w:before="1"/>
        <w:ind w:left="114"/>
      </w:pPr>
      <w:r>
        <w:t>VMT</w:t>
      </w:r>
      <w:r>
        <w:tab/>
      </w:r>
      <w:proofErr w:type="spellStart"/>
      <w:r>
        <w:t>Vitreomacular</w:t>
      </w:r>
      <w:proofErr w:type="spellEnd"/>
      <w:r>
        <w:rPr>
          <w:spacing w:val="-1"/>
        </w:rPr>
        <w:t xml:space="preserve"> </w:t>
      </w:r>
      <w:r>
        <w:t>Traction</w:t>
      </w:r>
    </w:p>
    <w:p w:rsidR="00B0268C" w:rsidRDefault="00B0268C">
      <w:pPr>
        <w:sectPr w:rsidR="00B0268C">
          <w:pgSz w:w="11910" w:h="16840"/>
          <w:pgMar w:top="1040" w:right="1360" w:bottom="1660" w:left="1360" w:header="712" w:footer="1457" w:gutter="0"/>
          <w:cols w:space="720"/>
        </w:sectPr>
      </w:pPr>
    </w:p>
    <w:p w:rsidR="00B0268C" w:rsidRDefault="00C408FB">
      <w:pPr>
        <w:spacing w:before="86"/>
        <w:ind w:left="114"/>
        <w:rPr>
          <w:b/>
          <w:sz w:val="23"/>
        </w:rPr>
      </w:pPr>
      <w:r>
        <w:rPr>
          <w:b/>
          <w:sz w:val="23"/>
        </w:rPr>
        <w:lastRenderedPageBreak/>
        <w:t>INVESTIGATORS:</w:t>
      </w:r>
    </w:p>
    <w:p w:rsidR="00B0268C" w:rsidRDefault="00B0268C">
      <w:pPr>
        <w:pStyle w:val="BodyText"/>
        <w:rPr>
          <w:b/>
        </w:rPr>
      </w:pPr>
    </w:p>
    <w:p w:rsidR="00B0268C" w:rsidRDefault="00C408FB">
      <w:pPr>
        <w:pStyle w:val="Heading2"/>
        <w:spacing w:before="1"/>
        <w:ind w:left="114" w:firstLine="0"/>
        <w:rPr>
          <w:rFonts w:ascii="Times New Roman"/>
        </w:rPr>
      </w:pPr>
      <w:r>
        <w:rPr>
          <w:rFonts w:ascii="Times New Roman"/>
        </w:rPr>
        <w:t>Trial Statistician:</w:t>
      </w:r>
    </w:p>
    <w:p w:rsidR="00B0268C" w:rsidRDefault="00B0268C">
      <w:pPr>
        <w:pStyle w:val="BodyText"/>
        <w:spacing w:before="6"/>
        <w:rPr>
          <w:b/>
          <w:sz w:val="23"/>
        </w:rPr>
      </w:pPr>
    </w:p>
    <w:p w:rsidR="00B0268C" w:rsidRDefault="00C408FB">
      <w:pPr>
        <w:pStyle w:val="BodyText"/>
        <w:ind w:left="114"/>
      </w:pPr>
      <w:r>
        <w:rPr>
          <w:b/>
          <w:i/>
        </w:rPr>
        <w:t>Name</w:t>
      </w:r>
      <w:r>
        <w:t xml:space="preserve">: Joana </w:t>
      </w:r>
      <w:proofErr w:type="spellStart"/>
      <w:r>
        <w:t>Vasconcelos</w:t>
      </w:r>
      <w:proofErr w:type="spellEnd"/>
    </w:p>
    <w:p w:rsidR="00B0268C" w:rsidRDefault="00C408FB">
      <w:pPr>
        <w:pStyle w:val="BodyText"/>
        <w:ind w:left="114"/>
      </w:pPr>
      <w:r>
        <w:rPr>
          <w:b/>
          <w:i/>
        </w:rPr>
        <w:t>Address</w:t>
      </w:r>
      <w:r>
        <w:t>: Imperial Clinical Trials Unit, Stadium House, 68 Wood Lane, Imperial College London, London W12 7RH</w:t>
      </w:r>
    </w:p>
    <w:p w:rsidR="00B0268C" w:rsidRDefault="00C408FB">
      <w:pPr>
        <w:pStyle w:val="BodyText"/>
        <w:ind w:left="114"/>
      </w:pPr>
      <w:r>
        <w:rPr>
          <w:b/>
          <w:i/>
        </w:rPr>
        <w:t>Email</w:t>
      </w:r>
      <w:r>
        <w:t>:</w:t>
      </w:r>
      <w:r>
        <w:rPr>
          <w:spacing w:val="59"/>
        </w:rPr>
        <w:t xml:space="preserve"> </w:t>
      </w:r>
      <w:hyperlink r:id="rId10">
        <w:r>
          <w:rPr>
            <w:color w:val="0000FF"/>
            <w:u w:val="single" w:color="0000FF"/>
          </w:rPr>
          <w:t>joana.vasconcelos@imperial.ac.uk</w:t>
        </w:r>
      </w:hyperlink>
    </w:p>
    <w:p w:rsidR="00B0268C" w:rsidRDefault="00B0268C">
      <w:pPr>
        <w:pStyle w:val="BodyText"/>
        <w:spacing w:before="7"/>
        <w:rPr>
          <w:sz w:val="16"/>
        </w:rPr>
      </w:pPr>
    </w:p>
    <w:p w:rsidR="00B0268C" w:rsidRDefault="00C408FB">
      <w:pPr>
        <w:pStyle w:val="Heading2"/>
        <w:spacing w:before="90"/>
        <w:ind w:left="114" w:firstLine="0"/>
        <w:rPr>
          <w:rFonts w:ascii="Times New Roman"/>
        </w:rPr>
      </w:pPr>
      <w:r>
        <w:rPr>
          <w:rFonts w:ascii="Times New Roman"/>
        </w:rPr>
        <w:t>Lead Statistician:</w:t>
      </w:r>
    </w:p>
    <w:p w:rsidR="00B0268C" w:rsidRDefault="00B0268C">
      <w:pPr>
        <w:pStyle w:val="BodyText"/>
        <w:spacing w:before="7"/>
        <w:rPr>
          <w:b/>
          <w:sz w:val="23"/>
        </w:rPr>
      </w:pPr>
    </w:p>
    <w:p w:rsidR="00B0268C" w:rsidRDefault="00C408FB">
      <w:pPr>
        <w:pStyle w:val="BodyText"/>
        <w:ind w:left="114"/>
      </w:pPr>
      <w:r>
        <w:rPr>
          <w:b/>
          <w:i/>
        </w:rPr>
        <w:t>Name</w:t>
      </w:r>
      <w:r>
        <w:t>: Professor Toby Prevost</w:t>
      </w:r>
    </w:p>
    <w:p w:rsidR="00B0268C" w:rsidRDefault="00C408FB">
      <w:pPr>
        <w:pStyle w:val="BodyText"/>
        <w:ind w:left="114"/>
      </w:pPr>
      <w:r>
        <w:rPr>
          <w:b/>
          <w:i/>
        </w:rPr>
        <w:t>Address</w:t>
      </w:r>
      <w:r>
        <w:t>: Imperial Clinical Trials Unit, Stadium House, 68 Wood Lane, Imperial College London, London W12 7RH</w:t>
      </w:r>
    </w:p>
    <w:p w:rsidR="00B0268C" w:rsidRDefault="00C408FB">
      <w:pPr>
        <w:pStyle w:val="BodyText"/>
        <w:ind w:left="114"/>
      </w:pPr>
      <w:r>
        <w:rPr>
          <w:b/>
          <w:i/>
        </w:rPr>
        <w:t>Email</w:t>
      </w:r>
      <w:r>
        <w:t>:</w:t>
      </w:r>
      <w:r>
        <w:rPr>
          <w:spacing w:val="59"/>
        </w:rPr>
        <w:t xml:space="preserve"> </w:t>
      </w:r>
      <w:r>
        <w:t>a</w:t>
      </w:r>
      <w:hyperlink r:id="rId11">
        <w:r>
          <w:rPr>
            <w:color w:val="0000FF"/>
            <w:u w:val="single" w:color="0000FF"/>
          </w:rPr>
          <w:t>.prevost@imperial.ac.uk</w:t>
        </w:r>
      </w:hyperlink>
    </w:p>
    <w:p w:rsidR="00B0268C" w:rsidRDefault="00B0268C">
      <w:pPr>
        <w:pStyle w:val="BodyText"/>
        <w:spacing w:before="8"/>
        <w:rPr>
          <w:sz w:val="16"/>
        </w:rPr>
      </w:pPr>
    </w:p>
    <w:p w:rsidR="00B0268C" w:rsidRDefault="00C408FB">
      <w:pPr>
        <w:pStyle w:val="Heading2"/>
        <w:spacing w:before="90"/>
        <w:ind w:left="114" w:firstLine="0"/>
        <w:rPr>
          <w:rFonts w:ascii="Times New Roman"/>
        </w:rPr>
      </w:pPr>
      <w:r>
        <w:rPr>
          <w:rFonts w:ascii="Times New Roman"/>
        </w:rPr>
        <w:t>Chief Investigator:</w:t>
      </w:r>
    </w:p>
    <w:p w:rsidR="00B0268C" w:rsidRDefault="00B0268C">
      <w:pPr>
        <w:pStyle w:val="BodyText"/>
        <w:spacing w:before="6"/>
        <w:rPr>
          <w:b/>
          <w:sz w:val="23"/>
        </w:rPr>
      </w:pPr>
    </w:p>
    <w:p w:rsidR="00B0268C" w:rsidRDefault="00C408FB">
      <w:pPr>
        <w:pStyle w:val="BodyText"/>
        <w:ind w:left="114"/>
      </w:pPr>
      <w:r>
        <w:rPr>
          <w:b/>
          <w:i/>
        </w:rPr>
        <w:t>Name</w:t>
      </w:r>
      <w:r>
        <w:t>: Mr. Philip Hykin</w:t>
      </w:r>
    </w:p>
    <w:p w:rsidR="00B0268C" w:rsidRDefault="00C408FB">
      <w:pPr>
        <w:pStyle w:val="BodyText"/>
        <w:ind w:left="114"/>
      </w:pPr>
      <w:r>
        <w:rPr>
          <w:b/>
          <w:i/>
        </w:rPr>
        <w:t>Address</w:t>
      </w:r>
      <w:r>
        <w:t xml:space="preserve">: Moorfields Eye Hospital. </w:t>
      </w:r>
      <w:proofErr w:type="gramStart"/>
      <w:r>
        <w:t>162, City Road, London EC1V 2PD.</w:t>
      </w:r>
      <w:proofErr w:type="gramEnd"/>
    </w:p>
    <w:p w:rsidR="00B0268C" w:rsidRDefault="00C408FB">
      <w:pPr>
        <w:ind w:left="114"/>
        <w:rPr>
          <w:sz w:val="24"/>
        </w:rPr>
      </w:pPr>
      <w:proofErr w:type="gramStart"/>
      <w:r>
        <w:rPr>
          <w:b/>
          <w:i/>
          <w:sz w:val="24"/>
        </w:rPr>
        <w:t>Email</w:t>
      </w:r>
      <w:r>
        <w:rPr>
          <w:sz w:val="24"/>
        </w:rPr>
        <w:t xml:space="preserve">  </w:t>
      </w:r>
      <w:r>
        <w:rPr>
          <w:color w:val="0000FF"/>
          <w:sz w:val="24"/>
          <w:u w:val="single" w:color="0000FF"/>
        </w:rPr>
        <w:t>p.hykin@nhs.net</w:t>
      </w:r>
      <w:proofErr w:type="gramEnd"/>
    </w:p>
    <w:p w:rsidR="00B0268C" w:rsidRDefault="00B0268C">
      <w:pPr>
        <w:pStyle w:val="BodyText"/>
        <w:spacing w:before="5"/>
        <w:rPr>
          <w:sz w:val="16"/>
        </w:rPr>
      </w:pPr>
    </w:p>
    <w:p w:rsidR="00B0268C" w:rsidRDefault="00C408FB">
      <w:pPr>
        <w:pStyle w:val="Heading2"/>
        <w:spacing w:before="90"/>
        <w:ind w:left="114" w:firstLine="0"/>
        <w:rPr>
          <w:rFonts w:ascii="Times New Roman"/>
        </w:rPr>
      </w:pPr>
      <w:r>
        <w:rPr>
          <w:rFonts w:ascii="Times New Roman"/>
        </w:rPr>
        <w:t>Co-lead:</w:t>
      </w:r>
    </w:p>
    <w:p w:rsidR="00B0268C" w:rsidRDefault="00B0268C">
      <w:pPr>
        <w:pStyle w:val="BodyText"/>
        <w:spacing w:before="6"/>
        <w:rPr>
          <w:b/>
          <w:sz w:val="23"/>
        </w:rPr>
      </w:pPr>
    </w:p>
    <w:p w:rsidR="00B0268C" w:rsidRDefault="00C408FB">
      <w:pPr>
        <w:pStyle w:val="BodyText"/>
        <w:spacing w:before="1"/>
        <w:ind w:left="114"/>
      </w:pPr>
      <w:r>
        <w:rPr>
          <w:b/>
          <w:i/>
        </w:rPr>
        <w:t>Name</w:t>
      </w:r>
      <w:r>
        <w:t xml:space="preserve">: Professor </w:t>
      </w:r>
      <w:proofErr w:type="spellStart"/>
      <w:r>
        <w:t>Sobha</w:t>
      </w:r>
      <w:proofErr w:type="spellEnd"/>
      <w:r>
        <w:t xml:space="preserve"> </w:t>
      </w:r>
      <w:proofErr w:type="spellStart"/>
      <w:r>
        <w:t>Sivaprasad</w:t>
      </w:r>
      <w:proofErr w:type="spellEnd"/>
    </w:p>
    <w:p w:rsidR="00B0268C" w:rsidRDefault="00C408FB">
      <w:pPr>
        <w:pStyle w:val="BodyText"/>
        <w:tabs>
          <w:tab w:val="left" w:pos="1193"/>
        </w:tabs>
        <w:ind w:left="114" w:right="119"/>
      </w:pPr>
      <w:r>
        <w:rPr>
          <w:b/>
          <w:i/>
        </w:rPr>
        <w:t>Address</w:t>
      </w:r>
      <w:r>
        <w:t>:</w:t>
      </w:r>
      <w:r>
        <w:tab/>
        <w:t xml:space="preserve">Moorfields Eye Hospital &amp; UCL Institute of </w:t>
      </w:r>
      <w:proofErr w:type="spellStart"/>
      <w:r>
        <w:t>Ophtalmology</w:t>
      </w:r>
      <w:proofErr w:type="spellEnd"/>
      <w:r>
        <w:t>. 162, City Road, London EC1V</w:t>
      </w:r>
      <w:r>
        <w:rPr>
          <w:spacing w:val="-1"/>
        </w:rPr>
        <w:t xml:space="preserve"> </w:t>
      </w:r>
      <w:r>
        <w:t>2PD</w:t>
      </w:r>
    </w:p>
    <w:p w:rsidR="00B0268C" w:rsidRDefault="00C408FB">
      <w:pPr>
        <w:pStyle w:val="BodyText"/>
        <w:ind w:left="114"/>
      </w:pPr>
      <w:r>
        <w:rPr>
          <w:b/>
          <w:i/>
        </w:rPr>
        <w:t>Email</w:t>
      </w:r>
      <w:r>
        <w:t xml:space="preserve">: </w:t>
      </w:r>
      <w:hyperlink r:id="rId12">
        <w:r>
          <w:rPr>
            <w:color w:val="0000FF"/>
            <w:u w:val="single" w:color="0000FF"/>
          </w:rPr>
          <w:t>sobha.sivaprasad@nhs.net</w:t>
        </w:r>
      </w:hyperlink>
    </w:p>
    <w:p w:rsidR="00B0268C" w:rsidRDefault="00B0268C">
      <w:pPr>
        <w:pStyle w:val="BodyText"/>
        <w:spacing w:before="6"/>
        <w:rPr>
          <w:sz w:val="16"/>
        </w:rPr>
      </w:pPr>
    </w:p>
    <w:p w:rsidR="00B0268C" w:rsidRDefault="00C408FB">
      <w:pPr>
        <w:pStyle w:val="Heading2"/>
        <w:spacing w:before="90"/>
        <w:ind w:left="114" w:firstLine="0"/>
        <w:rPr>
          <w:rFonts w:ascii="Times New Roman"/>
        </w:rPr>
      </w:pPr>
      <w:r>
        <w:rPr>
          <w:rFonts w:ascii="Times New Roman"/>
        </w:rPr>
        <w:t>Chair of Trial Steering Committee:</w:t>
      </w:r>
    </w:p>
    <w:p w:rsidR="00B0268C" w:rsidRDefault="00B0268C">
      <w:pPr>
        <w:pStyle w:val="BodyText"/>
        <w:spacing w:before="7"/>
        <w:rPr>
          <w:b/>
          <w:sz w:val="23"/>
        </w:rPr>
      </w:pPr>
    </w:p>
    <w:p w:rsidR="00B0268C" w:rsidRDefault="00C408FB">
      <w:pPr>
        <w:pStyle w:val="BodyText"/>
        <w:spacing w:before="1"/>
        <w:ind w:left="114"/>
      </w:pPr>
      <w:r>
        <w:rPr>
          <w:b/>
          <w:i/>
        </w:rPr>
        <w:t>Name</w:t>
      </w:r>
      <w:r>
        <w:t xml:space="preserve">: Miss Susan </w:t>
      </w:r>
      <w:proofErr w:type="spellStart"/>
      <w:r>
        <w:t>Downes</w:t>
      </w:r>
      <w:proofErr w:type="spellEnd"/>
    </w:p>
    <w:p w:rsidR="00B0268C" w:rsidRDefault="00C408FB">
      <w:pPr>
        <w:pStyle w:val="BodyText"/>
        <w:ind w:left="114"/>
      </w:pPr>
      <w:r>
        <w:rPr>
          <w:b/>
          <w:i/>
        </w:rPr>
        <w:t>Address</w:t>
      </w:r>
      <w:r>
        <w:t>: Oxford Eye Hospital, Oxford University Hospitals, West Wing, John Radcliffe Hospital, Headley Way, Oxford OX3 9DU</w:t>
      </w:r>
    </w:p>
    <w:p w:rsidR="00B0268C" w:rsidRDefault="00C408FB">
      <w:pPr>
        <w:pStyle w:val="BodyText"/>
        <w:ind w:left="114"/>
      </w:pPr>
      <w:r>
        <w:rPr>
          <w:b/>
          <w:i/>
        </w:rPr>
        <w:t>Email</w:t>
      </w:r>
      <w:r>
        <w:t>:</w:t>
      </w:r>
      <w:r>
        <w:rPr>
          <w:spacing w:val="59"/>
        </w:rPr>
        <w:t xml:space="preserve"> </w:t>
      </w:r>
      <w:hyperlink r:id="rId13">
        <w:r>
          <w:t>susan.downe</w:t>
        </w:r>
      </w:hyperlink>
      <w:hyperlink r:id="rId14">
        <w:r>
          <w:t>s@ouh.nhs.uk</w:t>
        </w:r>
      </w:hyperlink>
    </w:p>
    <w:p w:rsidR="00B0268C" w:rsidRDefault="00B0268C">
      <w:pPr>
        <w:pStyle w:val="BodyText"/>
        <w:spacing w:before="4"/>
      </w:pPr>
    </w:p>
    <w:p w:rsidR="00B0268C" w:rsidRDefault="00C408FB">
      <w:pPr>
        <w:pStyle w:val="Heading2"/>
        <w:spacing w:before="1"/>
        <w:ind w:left="114" w:firstLine="0"/>
        <w:rPr>
          <w:rFonts w:ascii="Times New Roman"/>
        </w:rPr>
      </w:pPr>
      <w:r>
        <w:rPr>
          <w:rFonts w:ascii="Times New Roman"/>
        </w:rPr>
        <w:t>Chair of Data Monitoring Committee:</w:t>
      </w:r>
    </w:p>
    <w:p w:rsidR="00B0268C" w:rsidRDefault="00B0268C">
      <w:pPr>
        <w:pStyle w:val="BodyText"/>
        <w:spacing w:before="6"/>
        <w:rPr>
          <w:b/>
          <w:sz w:val="23"/>
        </w:rPr>
      </w:pPr>
    </w:p>
    <w:p w:rsidR="00B0268C" w:rsidRDefault="00C408FB">
      <w:pPr>
        <w:ind w:left="114"/>
        <w:rPr>
          <w:sz w:val="24"/>
        </w:rPr>
      </w:pPr>
      <w:r>
        <w:rPr>
          <w:b/>
          <w:i/>
          <w:sz w:val="24"/>
        </w:rPr>
        <w:t xml:space="preserve">Name: </w:t>
      </w:r>
      <w:r>
        <w:rPr>
          <w:sz w:val="24"/>
        </w:rPr>
        <w:t>Prof Sarah Walker</w:t>
      </w:r>
    </w:p>
    <w:p w:rsidR="00B0268C" w:rsidRDefault="00C408FB">
      <w:pPr>
        <w:ind w:left="114"/>
        <w:rPr>
          <w:sz w:val="24"/>
        </w:rPr>
      </w:pPr>
      <w:r>
        <w:rPr>
          <w:b/>
          <w:i/>
          <w:sz w:val="24"/>
        </w:rPr>
        <w:t>Address</w:t>
      </w:r>
      <w:r>
        <w:rPr>
          <w:sz w:val="24"/>
        </w:rPr>
        <w:t>: Professor of Statistics,</w:t>
      </w:r>
    </w:p>
    <w:p w:rsidR="00B0268C" w:rsidRDefault="00C408FB">
      <w:pPr>
        <w:pStyle w:val="BodyText"/>
        <w:ind w:left="114"/>
      </w:pPr>
      <w:r>
        <w:t>Medical Research Council Clinical Trials Unit (MRC CTU) Aviation House, 125 Kingsway, London, WC2B 6NH</w:t>
      </w:r>
    </w:p>
    <w:p w:rsidR="00B0268C" w:rsidRDefault="00C408FB" w:rsidP="00C408FB">
      <w:pPr>
        <w:pStyle w:val="BodyText"/>
        <w:ind w:left="114"/>
        <w:sectPr w:rsidR="00B0268C">
          <w:pgSz w:w="11910" w:h="16840"/>
          <w:pgMar w:top="1040" w:right="1360" w:bottom="1660" w:left="1360" w:header="712" w:footer="1457" w:gutter="0"/>
          <w:cols w:space="720"/>
        </w:sectPr>
      </w:pPr>
      <w:r>
        <w:rPr>
          <w:b/>
          <w:i/>
        </w:rPr>
        <w:t>Email</w:t>
      </w:r>
      <w:hyperlink r:id="rId15" w:history="1">
        <w:r w:rsidRPr="004733E6">
          <w:rPr>
            <w:rStyle w:val="Hyperlink"/>
          </w:rPr>
          <w:t xml:space="preserve">: asw@ctu.mrc.ac.uk    </w:t>
        </w:r>
      </w:hyperlink>
    </w:p>
    <w:p w:rsidR="00B0268C" w:rsidRDefault="00C408FB">
      <w:pPr>
        <w:pStyle w:val="Heading2"/>
        <w:spacing w:before="84"/>
        <w:ind w:left="114" w:firstLine="0"/>
        <w:rPr>
          <w:rFonts w:ascii="Times New Roman"/>
        </w:rPr>
      </w:pPr>
      <w:r>
        <w:rPr>
          <w:rFonts w:ascii="Times New Roman"/>
        </w:rPr>
        <w:lastRenderedPageBreak/>
        <w:t>Sponsor:</w:t>
      </w:r>
    </w:p>
    <w:p w:rsidR="00B0268C" w:rsidRDefault="00B0268C">
      <w:pPr>
        <w:pStyle w:val="BodyText"/>
        <w:spacing w:before="7"/>
        <w:rPr>
          <w:b/>
          <w:sz w:val="23"/>
        </w:rPr>
      </w:pPr>
    </w:p>
    <w:p w:rsidR="00B0268C" w:rsidRDefault="00C408FB">
      <w:pPr>
        <w:pStyle w:val="BodyText"/>
        <w:ind w:left="114"/>
      </w:pPr>
      <w:r>
        <w:rPr>
          <w:b/>
          <w:i/>
        </w:rPr>
        <w:t>Name</w:t>
      </w:r>
      <w:r>
        <w:t xml:space="preserve">: Ms Maria </w:t>
      </w:r>
      <w:proofErr w:type="spellStart"/>
      <w:r>
        <w:t>Hassard</w:t>
      </w:r>
      <w:proofErr w:type="spellEnd"/>
    </w:p>
    <w:p w:rsidR="00B0268C" w:rsidRDefault="00C408FB">
      <w:pPr>
        <w:pStyle w:val="BodyText"/>
        <w:ind w:left="114"/>
      </w:pPr>
      <w:r>
        <w:rPr>
          <w:b/>
          <w:i/>
        </w:rPr>
        <w:t>Address</w:t>
      </w:r>
      <w:r>
        <w:t>: NIHR Moorfields Biomedical Research Centre, Moorfields Eye Hospital &amp; UCL Institute of Ophthalmology 162 City Road, London, EC1V 2PD</w:t>
      </w:r>
    </w:p>
    <w:p w:rsidR="00B0268C" w:rsidRDefault="00C408FB">
      <w:pPr>
        <w:pStyle w:val="BodyText"/>
        <w:spacing w:before="1"/>
        <w:ind w:left="114"/>
      </w:pPr>
      <w:r>
        <w:rPr>
          <w:b/>
          <w:i/>
        </w:rPr>
        <w:t>Email</w:t>
      </w:r>
      <w:hyperlink r:id="rId16">
        <w:r>
          <w:t>: maria.hassard@moorfields.nhs.uk</w:t>
        </w:r>
      </w:hyperlink>
    </w:p>
    <w:p w:rsidR="00B0268C" w:rsidRDefault="00B0268C">
      <w:pPr>
        <w:pStyle w:val="BodyText"/>
        <w:spacing w:before="11"/>
        <w:rPr>
          <w:sz w:val="23"/>
        </w:rPr>
      </w:pPr>
    </w:p>
    <w:p w:rsidR="00B0268C" w:rsidRDefault="00C408FB">
      <w:pPr>
        <w:pStyle w:val="Heading2"/>
        <w:ind w:left="114" w:firstLine="0"/>
        <w:rPr>
          <w:rFonts w:ascii="Times New Roman"/>
          <w:b w:val="0"/>
        </w:rPr>
      </w:pPr>
      <w:r>
        <w:rPr>
          <w:rFonts w:ascii="Times New Roman"/>
        </w:rPr>
        <w:t>Funder</w:t>
      </w:r>
      <w:r>
        <w:rPr>
          <w:rFonts w:ascii="Times New Roman"/>
          <w:b w:val="0"/>
        </w:rPr>
        <w:t>:</w:t>
      </w:r>
    </w:p>
    <w:p w:rsidR="00B0268C" w:rsidRDefault="00B0268C">
      <w:pPr>
        <w:pStyle w:val="BodyText"/>
      </w:pPr>
    </w:p>
    <w:p w:rsidR="00B0268C" w:rsidRDefault="00C408FB">
      <w:pPr>
        <w:pStyle w:val="BodyText"/>
        <w:ind w:left="114"/>
      </w:pPr>
      <w:r>
        <w:rPr>
          <w:b/>
          <w:i/>
        </w:rPr>
        <w:t>Name</w:t>
      </w:r>
      <w:r>
        <w:t>: NIHR HTA CET – National Institute for Health Research, Health Technology Assessment Programme, Clinical Trials and Evaluation Stream</w:t>
      </w:r>
    </w:p>
    <w:p w:rsidR="00B0268C" w:rsidRDefault="00C408FB">
      <w:pPr>
        <w:ind w:left="114"/>
        <w:rPr>
          <w:sz w:val="24"/>
        </w:rPr>
      </w:pPr>
      <w:r>
        <w:rPr>
          <w:b/>
          <w:i/>
          <w:sz w:val="24"/>
        </w:rPr>
        <w:t>Contact name</w:t>
      </w:r>
      <w:r>
        <w:rPr>
          <w:sz w:val="24"/>
        </w:rPr>
        <w:t>: Simon</w:t>
      </w:r>
      <w:r>
        <w:rPr>
          <w:spacing w:val="-8"/>
          <w:sz w:val="24"/>
        </w:rPr>
        <w:t xml:space="preserve"> </w:t>
      </w:r>
      <w:r>
        <w:rPr>
          <w:sz w:val="24"/>
        </w:rPr>
        <w:t>Bevan</w:t>
      </w:r>
    </w:p>
    <w:p w:rsidR="00B0268C" w:rsidRDefault="00C408FB">
      <w:pPr>
        <w:pStyle w:val="BodyText"/>
        <w:ind w:left="114"/>
      </w:pPr>
      <w:r>
        <w:rPr>
          <w:b/>
          <w:i/>
        </w:rPr>
        <w:t>Email</w:t>
      </w:r>
      <w:hyperlink r:id="rId17">
        <w:r>
          <w:t>:</w:t>
        </w:r>
        <w:r>
          <w:rPr>
            <w:spacing w:val="-3"/>
          </w:rPr>
          <w:t xml:space="preserve"> </w:t>
        </w:r>
        <w:r>
          <w:t>s.bevan@soton.ac.uk</w:t>
        </w:r>
      </w:hyperlink>
    </w:p>
    <w:p w:rsidR="00B0268C" w:rsidRDefault="00B0268C">
      <w:pPr>
        <w:sectPr w:rsidR="00B0268C">
          <w:pgSz w:w="11910" w:h="16840"/>
          <w:pgMar w:top="1040" w:right="1360" w:bottom="1660" w:left="1360" w:header="712" w:footer="1457" w:gutter="0"/>
          <w:cols w:space="720"/>
        </w:sectPr>
      </w:pPr>
    </w:p>
    <w:p w:rsidR="00B0268C" w:rsidRDefault="00C408FB">
      <w:pPr>
        <w:pStyle w:val="Heading1"/>
        <w:numPr>
          <w:ilvl w:val="1"/>
          <w:numId w:val="27"/>
        </w:numPr>
        <w:tabs>
          <w:tab w:val="left" w:pos="582"/>
        </w:tabs>
        <w:spacing w:before="84"/>
      </w:pPr>
      <w:bookmarkStart w:id="0" w:name="_bookmark0"/>
      <w:bookmarkEnd w:id="0"/>
      <w:r>
        <w:lastRenderedPageBreak/>
        <w:t>Introduction</w:t>
      </w:r>
    </w:p>
    <w:p w:rsidR="00B0268C" w:rsidRDefault="00C408FB">
      <w:pPr>
        <w:pStyle w:val="Heading2"/>
        <w:numPr>
          <w:ilvl w:val="1"/>
          <w:numId w:val="27"/>
        </w:numPr>
        <w:tabs>
          <w:tab w:val="left" w:pos="517"/>
        </w:tabs>
        <w:spacing w:before="266"/>
        <w:ind w:left="516" w:hanging="403"/>
      </w:pPr>
      <w:bookmarkStart w:id="1" w:name="_bookmark1"/>
      <w:bookmarkEnd w:id="1"/>
      <w:r>
        <w:t>Derivation of the statistical analysis plan</w:t>
      </w:r>
    </w:p>
    <w:p w:rsidR="00B0268C" w:rsidRDefault="00B0268C">
      <w:pPr>
        <w:pStyle w:val="BodyText"/>
        <w:spacing w:before="7"/>
        <w:rPr>
          <w:rFonts w:ascii="Arial"/>
          <w:b/>
          <w:sz w:val="22"/>
        </w:rPr>
      </w:pPr>
    </w:p>
    <w:p w:rsidR="00B0268C" w:rsidRDefault="00C408FB">
      <w:pPr>
        <w:pStyle w:val="BodyText"/>
        <w:ind w:left="114" w:right="109"/>
        <w:jc w:val="both"/>
      </w:pPr>
      <w:r>
        <w:t xml:space="preserve">The present statistical analysis plan was derived from the trial protocol, by the trial statistician, Joana </w:t>
      </w:r>
      <w:proofErr w:type="spellStart"/>
      <w:r>
        <w:t>Vasconcelos</w:t>
      </w:r>
      <w:proofErr w:type="spellEnd"/>
      <w:r>
        <w:t xml:space="preserve">, with the supervision of Professor Toby Prevost. The trial statistician is responsible for developing the SAP as well as for carrying out the statistical analysis for interim and final statistical reporting of the trial. The supervisor will revise the SAP and give an overall verification of the analysis throughout the study, in keeping </w:t>
      </w:r>
      <w:proofErr w:type="gramStart"/>
      <w:r>
        <w:t>with  the</w:t>
      </w:r>
      <w:proofErr w:type="gramEnd"/>
      <w:r>
        <w:t xml:space="preserve"> Standardised Operating Procedures (SOPs) of the King’s Clinical Trials Unit, including the SOP for developing the Statistical Analysis</w:t>
      </w:r>
      <w:r>
        <w:rPr>
          <w:spacing w:val="-5"/>
        </w:rPr>
        <w:t xml:space="preserve"> </w:t>
      </w:r>
      <w:r>
        <w:t>Plan.</w:t>
      </w:r>
    </w:p>
    <w:p w:rsidR="00B0268C" w:rsidRDefault="00B0268C">
      <w:pPr>
        <w:pStyle w:val="BodyText"/>
      </w:pPr>
    </w:p>
    <w:p w:rsidR="00B0268C" w:rsidRDefault="00C408FB">
      <w:pPr>
        <w:pStyle w:val="BodyText"/>
        <w:ind w:left="114" w:right="110"/>
        <w:jc w:val="both"/>
      </w:pPr>
      <w:r>
        <w:t>The formation of this Plan has drawn on statistical guidance from: the ICH Harmonised Tripartite Guideline: Statistical Principles for Clinical Trial E9 and E3(</w:t>
      </w:r>
      <w:hyperlink w:anchor="_bookmark82" w:history="1">
        <w:r>
          <w:t>1</w:t>
        </w:r>
      </w:hyperlink>
      <w:r>
        <w:t>), the CONSORT statement for reporting trials(</w:t>
      </w:r>
      <w:hyperlink w:anchor="_bookmark83" w:history="1">
        <w:r>
          <w:t>2</w:t>
        </w:r>
      </w:hyperlink>
      <w:r>
        <w:t>), the Committee for Medicinal Products for Human Use (formerly known as the Committee for Proprietary Medicinal Products) report(</w:t>
      </w:r>
      <w:hyperlink w:anchor="_bookmark84" w:history="1">
        <w:r>
          <w:t>3</w:t>
        </w:r>
      </w:hyperlink>
      <w:r>
        <w:t>), from general issues in non-inferiority designs(</w:t>
      </w:r>
      <w:hyperlink w:anchor="_bookmark85" w:history="1">
        <w:r>
          <w:t>4,</w:t>
        </w:r>
      </w:hyperlink>
      <w:r>
        <w:t xml:space="preserve"> </w:t>
      </w:r>
      <w:hyperlink w:anchor="_bookmark86" w:history="1">
        <w:r>
          <w:t>5</w:t>
        </w:r>
      </w:hyperlink>
      <w:r>
        <w:t>) and from specific trial issues (</w:t>
      </w:r>
      <w:hyperlink w:anchor="_bookmark87" w:history="1">
        <w:r>
          <w:t>6,</w:t>
        </w:r>
      </w:hyperlink>
      <w:r>
        <w:t xml:space="preserve"> </w:t>
      </w:r>
      <w:hyperlink w:anchor="_bookmark88" w:history="1">
        <w:r>
          <w:t>7</w:t>
        </w:r>
      </w:hyperlink>
      <w:r>
        <w:t>).</w:t>
      </w:r>
    </w:p>
    <w:p w:rsidR="00B0268C" w:rsidRDefault="00B0268C">
      <w:pPr>
        <w:pStyle w:val="BodyText"/>
        <w:rPr>
          <w:sz w:val="23"/>
        </w:rPr>
      </w:pPr>
    </w:p>
    <w:p w:rsidR="00B0268C" w:rsidRDefault="00C408FB">
      <w:pPr>
        <w:pStyle w:val="BodyText"/>
        <w:ind w:left="114" w:right="110"/>
        <w:jc w:val="both"/>
      </w:pPr>
      <w:r>
        <w:t>The trial statistician will write the first version of the plan. After revision by the supervisor the plan will be filed as version number 2. The plan will then be discussed with the Principal Investigator for further input and filed as version number 3. The plan will then be sent to the DMC and TSC for final approvals and saved as version 4 and 5 of the plan, respectively.</w:t>
      </w:r>
    </w:p>
    <w:p w:rsidR="00B0268C" w:rsidRDefault="00B0268C">
      <w:pPr>
        <w:pStyle w:val="BodyText"/>
        <w:rPr>
          <w:sz w:val="26"/>
        </w:rPr>
      </w:pPr>
    </w:p>
    <w:p w:rsidR="00B0268C" w:rsidRDefault="00C408FB">
      <w:pPr>
        <w:pStyle w:val="Heading2"/>
        <w:numPr>
          <w:ilvl w:val="1"/>
          <w:numId w:val="27"/>
        </w:numPr>
        <w:tabs>
          <w:tab w:val="left" w:pos="517"/>
        </w:tabs>
        <w:spacing w:before="233"/>
        <w:ind w:left="516" w:hanging="403"/>
      </w:pPr>
      <w:bookmarkStart w:id="2" w:name="_bookmark2"/>
      <w:bookmarkEnd w:id="2"/>
      <w:r>
        <w:t>Purpose and scope of the statistical analysis</w:t>
      </w:r>
      <w:r>
        <w:rPr>
          <w:spacing w:val="-5"/>
        </w:rPr>
        <w:t xml:space="preserve"> </w:t>
      </w:r>
      <w:r>
        <w:t>plan</w:t>
      </w:r>
    </w:p>
    <w:p w:rsidR="00B0268C" w:rsidRDefault="00B0268C">
      <w:pPr>
        <w:pStyle w:val="BodyText"/>
        <w:spacing w:before="1"/>
        <w:rPr>
          <w:rFonts w:ascii="Arial"/>
          <w:b/>
          <w:sz w:val="28"/>
        </w:rPr>
      </w:pPr>
    </w:p>
    <w:p w:rsidR="00B0268C" w:rsidRDefault="00C408FB">
      <w:pPr>
        <w:pStyle w:val="BodyText"/>
        <w:ind w:left="114" w:right="115"/>
        <w:jc w:val="both"/>
      </w:pPr>
      <w:r>
        <w:t>The purpose of this Statistical Analysis Plan is to set out the study objectives and hypotheses, and the analytical approaches and procedures necessary to address these for the main trial paper and to provide guidance for further research reported in other papers, promoting consistent approaches and</w:t>
      </w:r>
      <w:r>
        <w:rPr>
          <w:spacing w:val="-1"/>
        </w:rPr>
        <w:t xml:space="preserve"> </w:t>
      </w:r>
      <w:r>
        <w:t>methods.</w:t>
      </w:r>
    </w:p>
    <w:p w:rsidR="00B0268C" w:rsidRDefault="00B0268C">
      <w:pPr>
        <w:pStyle w:val="BodyText"/>
      </w:pPr>
    </w:p>
    <w:p w:rsidR="00B0268C" w:rsidRDefault="00C408FB">
      <w:pPr>
        <w:pStyle w:val="BodyText"/>
        <w:ind w:left="114" w:right="113"/>
        <w:jc w:val="both"/>
      </w:pPr>
      <w:r>
        <w:t>As there can typically be more than one analytical approach to address a hypothesis, there is the potential for different results to be produced from using alternative approaches, alternative methods, alternative outcome definitions and the alternative data that may be involved. These differences can be influential, for example, when results are of borderline statistical significance.</w:t>
      </w:r>
    </w:p>
    <w:p w:rsidR="00B0268C" w:rsidRDefault="00B0268C">
      <w:pPr>
        <w:pStyle w:val="BodyText"/>
      </w:pPr>
    </w:p>
    <w:p w:rsidR="00B0268C" w:rsidRDefault="00C408FB">
      <w:pPr>
        <w:pStyle w:val="BodyText"/>
        <w:spacing w:before="1"/>
        <w:ind w:left="114" w:right="112"/>
        <w:jc w:val="both"/>
      </w:pPr>
      <w:r>
        <w:t>Therefore, this Plan records those decisions that can be made about study hypotheses, outcome definitions and statistical procedures, along with their basis and the appropriateness of the assumptions required for their use, in advance of the main trial analysis, while any access to unmasked follow-up data and to trial arm is prevented.</w:t>
      </w:r>
    </w:p>
    <w:p w:rsidR="00B0268C" w:rsidRDefault="00C408FB">
      <w:pPr>
        <w:pStyle w:val="BodyText"/>
        <w:ind w:left="114" w:right="117"/>
        <w:jc w:val="both"/>
      </w:pPr>
      <w:r>
        <w:t>Changes within subsequent versions of the Plan prior to analysis will be dated, with the basis for the changes reasoned, and recorded within the plan.</w:t>
      </w:r>
    </w:p>
    <w:p w:rsidR="00B0268C" w:rsidRDefault="00B0268C">
      <w:pPr>
        <w:pStyle w:val="BodyText"/>
        <w:spacing w:before="9"/>
        <w:rPr>
          <w:sz w:val="23"/>
        </w:rPr>
      </w:pPr>
    </w:p>
    <w:p w:rsidR="00B0268C" w:rsidRDefault="00C408FB">
      <w:pPr>
        <w:pStyle w:val="BodyText"/>
        <w:ind w:left="114" w:right="114"/>
        <w:jc w:val="both"/>
      </w:pPr>
      <w:r>
        <w:t>Other analysis decisions may need to be made later, based on viewing the observed distribution of the data. Where possible these decisions will be made prior to access to trial arm, or where necessary from control arm data alone. The main place for this will be the “pre-analysis review” phase, blinded to treatment arm (ICH E9 (</w:t>
      </w:r>
      <w:hyperlink w:anchor="_bookmark82" w:history="1">
        <w:r>
          <w:t>1</w:t>
        </w:r>
      </w:hyperlink>
      <w:r>
        <w:t>)), taking place after final participant follow-up and prior to the study arm being made available. Prior to the first DMC</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BodyText"/>
        <w:spacing w:before="80"/>
        <w:ind w:left="114" w:right="111"/>
        <w:jc w:val="both"/>
      </w:pPr>
      <w:proofErr w:type="gramStart"/>
      <w:r>
        <w:lastRenderedPageBreak/>
        <w:t>meeting</w:t>
      </w:r>
      <w:proofErr w:type="gramEnd"/>
      <w:r>
        <w:t xml:space="preserve"> with follow-up data, indications, such as on the need for data transformation, will be made at a point when baseline data only is available without access to arm.</w:t>
      </w:r>
    </w:p>
    <w:p w:rsidR="00B0268C" w:rsidRDefault="00B0268C">
      <w:pPr>
        <w:pStyle w:val="BodyText"/>
      </w:pPr>
    </w:p>
    <w:p w:rsidR="00B0268C" w:rsidRDefault="00C408FB">
      <w:pPr>
        <w:pStyle w:val="BodyText"/>
        <w:ind w:left="114" w:right="111"/>
        <w:jc w:val="both"/>
      </w:pPr>
      <w:r>
        <w:t>Decisions will be supported by reasoning and justification, and these will be appended to the Statistical Analysis Plan, and dated, to provide a record of any post-analysis decisions and their basis.</w:t>
      </w:r>
    </w:p>
    <w:p w:rsidR="00B0268C" w:rsidRDefault="00B0268C">
      <w:pPr>
        <w:pStyle w:val="BodyText"/>
      </w:pPr>
    </w:p>
    <w:p w:rsidR="00B0268C" w:rsidRDefault="00C408FB">
      <w:pPr>
        <w:pStyle w:val="BodyText"/>
        <w:ind w:left="114" w:right="119"/>
        <w:jc w:val="both"/>
      </w:pPr>
      <w:r>
        <w:t>It is not intended that the strategy set out in the plan should prohibit sensible practices. However, the principles established in the plan will be followed as closely as possible when analysing and reporting the trial.</w:t>
      </w:r>
    </w:p>
    <w:p w:rsidR="00B0268C" w:rsidRDefault="00B0268C">
      <w:pPr>
        <w:pStyle w:val="BodyText"/>
        <w:rPr>
          <w:sz w:val="26"/>
        </w:rPr>
      </w:pPr>
    </w:p>
    <w:p w:rsidR="00B0268C" w:rsidRDefault="00B0268C">
      <w:pPr>
        <w:pStyle w:val="BodyText"/>
        <w:spacing w:before="6"/>
        <w:rPr>
          <w:sz w:val="20"/>
        </w:rPr>
      </w:pPr>
    </w:p>
    <w:p w:rsidR="00B0268C" w:rsidRDefault="00C408FB">
      <w:pPr>
        <w:pStyle w:val="Heading1"/>
        <w:numPr>
          <w:ilvl w:val="1"/>
          <w:numId w:val="26"/>
        </w:numPr>
        <w:tabs>
          <w:tab w:val="left" w:pos="582"/>
        </w:tabs>
        <w:spacing w:before="0"/>
      </w:pPr>
      <w:bookmarkStart w:id="3" w:name="_bookmark3"/>
      <w:bookmarkEnd w:id="3"/>
      <w:r>
        <w:t>Overview of the condition and</w:t>
      </w:r>
      <w:r>
        <w:rPr>
          <w:spacing w:val="-1"/>
        </w:rPr>
        <w:t xml:space="preserve"> </w:t>
      </w:r>
      <w:r>
        <w:t>treatment</w:t>
      </w:r>
    </w:p>
    <w:p w:rsidR="00B0268C" w:rsidRDefault="00C408FB">
      <w:pPr>
        <w:pStyle w:val="Heading2"/>
        <w:numPr>
          <w:ilvl w:val="1"/>
          <w:numId w:val="26"/>
        </w:numPr>
        <w:tabs>
          <w:tab w:val="left" w:pos="517"/>
        </w:tabs>
        <w:spacing w:before="263"/>
        <w:ind w:left="516" w:hanging="403"/>
      </w:pPr>
      <w:bookmarkStart w:id="4" w:name="_bookmark4"/>
      <w:bookmarkEnd w:id="4"/>
      <w:r>
        <w:t>Description of the condition and its</w:t>
      </w:r>
      <w:r>
        <w:rPr>
          <w:spacing w:val="-6"/>
        </w:rPr>
        <w:t xml:space="preserve"> </w:t>
      </w:r>
      <w:r>
        <w:t>importance/scale</w:t>
      </w:r>
    </w:p>
    <w:p w:rsidR="00B0268C" w:rsidRDefault="00B0268C">
      <w:pPr>
        <w:pStyle w:val="BodyText"/>
        <w:spacing w:before="11"/>
        <w:rPr>
          <w:rFonts w:ascii="Arial"/>
          <w:b/>
          <w:sz w:val="28"/>
        </w:rPr>
      </w:pPr>
    </w:p>
    <w:p w:rsidR="00B0268C" w:rsidRDefault="00C408FB">
      <w:pPr>
        <w:pStyle w:val="BodyText"/>
        <w:ind w:left="114" w:right="110"/>
        <w:jc w:val="both"/>
      </w:pPr>
      <w:r>
        <w:t xml:space="preserve">Retinal Vein Occlusion (RVO) is a blockage of the small retinal veins by a blood clot. When the blood cannot drain away from the retina, there is an accumulation of pressure in the blood vessels resulting in leakage of fluid and blood causing macular oedema and ischemia. This condition can affect the central retinal vein (CRVO) (formed by the union of the four retinal veins (one retinal vein drains each quarter of the eye)) or a major branch retinal vein (BRVO), where blockage occurs somewhere along the course of one of the four retinal </w:t>
      </w:r>
      <w:proofErr w:type="spellStart"/>
      <w:r>
        <w:t>veins.CRVO</w:t>
      </w:r>
      <w:proofErr w:type="spellEnd"/>
      <w:r>
        <w:t xml:space="preserve"> is characterised by retinal haemorrhages, venous dilatation and tortuosity in all four quadrants of the retina and is typically more severe than BRVO(</w:t>
      </w:r>
      <w:hyperlink w:anchor="_bookmark89" w:history="1">
        <w:r>
          <w:t>8</w:t>
        </w:r>
      </w:hyperlink>
      <w:r>
        <w:t>,</w:t>
      </w:r>
      <w:r>
        <w:rPr>
          <w:spacing w:val="-9"/>
        </w:rPr>
        <w:t xml:space="preserve"> </w:t>
      </w:r>
      <w:hyperlink w:anchor="_bookmark90" w:history="1">
        <w:r>
          <w:t>9</w:t>
        </w:r>
      </w:hyperlink>
      <w:r>
        <w:t>).</w:t>
      </w:r>
    </w:p>
    <w:p w:rsidR="00B0268C" w:rsidRDefault="00B0268C">
      <w:pPr>
        <w:pStyle w:val="BodyText"/>
      </w:pPr>
    </w:p>
    <w:p w:rsidR="00B0268C" w:rsidRDefault="00C408FB">
      <w:pPr>
        <w:pStyle w:val="BodyText"/>
        <w:ind w:left="114" w:right="110"/>
        <w:jc w:val="both"/>
      </w:pPr>
      <w:r>
        <w:t>Approximately 6,860 people develop CRVO every year in England and Wales of whom 5,150 are potentially eligible for treatment. Once established, the visual impairment due to CRVO is typically profound with no tendency to improve spontaneously. Without intervention permanently impaired visual loss is likely to occur. In this study the focus will be on</w:t>
      </w:r>
      <w:r>
        <w:rPr>
          <w:spacing w:val="-2"/>
        </w:rPr>
        <w:t xml:space="preserve"> </w:t>
      </w:r>
      <w:r>
        <w:t>CRVO.</w:t>
      </w:r>
    </w:p>
    <w:p w:rsidR="00B0268C" w:rsidRDefault="00B0268C">
      <w:pPr>
        <w:pStyle w:val="BodyText"/>
        <w:spacing w:before="3"/>
        <w:rPr>
          <w:sz w:val="22"/>
        </w:rPr>
      </w:pPr>
    </w:p>
    <w:p w:rsidR="00B0268C" w:rsidRDefault="00C408FB">
      <w:pPr>
        <w:pStyle w:val="Heading2"/>
        <w:numPr>
          <w:ilvl w:val="1"/>
          <w:numId w:val="26"/>
        </w:numPr>
        <w:tabs>
          <w:tab w:val="left" w:pos="517"/>
        </w:tabs>
        <w:ind w:left="516" w:hanging="403"/>
      </w:pPr>
      <w:bookmarkStart w:id="5" w:name="_bookmark5"/>
      <w:bookmarkEnd w:id="5"/>
      <w:r>
        <w:t>Description of the standard treatment (or placebo or current</w:t>
      </w:r>
      <w:r>
        <w:rPr>
          <w:spacing w:val="-7"/>
        </w:rPr>
        <w:t xml:space="preserve"> </w:t>
      </w:r>
      <w:r>
        <w:t>care)</w:t>
      </w:r>
    </w:p>
    <w:p w:rsidR="00B0268C" w:rsidRDefault="00B0268C">
      <w:pPr>
        <w:pStyle w:val="BodyText"/>
        <w:spacing w:before="8"/>
        <w:rPr>
          <w:rFonts w:ascii="Arial"/>
          <w:b/>
          <w:sz w:val="23"/>
        </w:rPr>
      </w:pPr>
    </w:p>
    <w:p w:rsidR="00B0268C" w:rsidRDefault="00C408FB">
      <w:pPr>
        <w:pStyle w:val="BodyText"/>
        <w:ind w:left="114" w:right="110"/>
        <w:jc w:val="both"/>
      </w:pPr>
      <w:r>
        <w:t>Until 2011 no treatment was available to improve vision in people with CRVO. In 2011, NICE recommended the NHS an implant called “</w:t>
      </w:r>
      <w:proofErr w:type="spellStart"/>
      <w:r>
        <w:t>Ozurdex</w:t>
      </w:r>
      <w:proofErr w:type="spellEnd"/>
      <w:r>
        <w:t>”, which although improving vision, could cause cataracts and glaucoma with repeated use, was difficult to administer and had only moderate uptake in the UK. In the meantime another treatment, more effective with fewer side effects, Ranibizumab (</w:t>
      </w:r>
      <w:proofErr w:type="spellStart"/>
      <w:r>
        <w:t>Lucentis</w:t>
      </w:r>
      <w:proofErr w:type="spellEnd"/>
      <w:r>
        <w:t xml:space="preserve">, Novartis, &amp; Genentech), was approved by the FDA and EMA for macular oedema due to CRVO. Ranibizumab is a humanized, affinity- matured VEGF antibody fragment that binds to and neutralizes all isoforms of VEGF-A and their biologically active degradation products and it was the first anti-VEGF therapy to demonstrate improved visual outcomes in patients with </w:t>
      </w:r>
      <w:proofErr w:type="spellStart"/>
      <w:r>
        <w:t>neovascular</w:t>
      </w:r>
      <w:proofErr w:type="spellEnd"/>
      <w:r>
        <w:t xml:space="preserve"> age related vascular degeneration. It is EMA licensed for use in wet age related macular degeneration, diabetic macular oedema and retinal vein occlusion and NICE recommended for all three.</w:t>
      </w:r>
    </w:p>
    <w:p w:rsidR="00B0268C" w:rsidRDefault="00B0268C">
      <w:pPr>
        <w:pStyle w:val="BodyText"/>
        <w:spacing w:before="5"/>
      </w:pPr>
    </w:p>
    <w:p w:rsidR="00B0268C" w:rsidRDefault="00C408FB">
      <w:pPr>
        <w:pStyle w:val="Heading2"/>
        <w:numPr>
          <w:ilvl w:val="1"/>
          <w:numId w:val="26"/>
        </w:numPr>
        <w:tabs>
          <w:tab w:val="left" w:pos="517"/>
        </w:tabs>
        <w:ind w:left="516" w:hanging="403"/>
      </w:pPr>
      <w:bookmarkStart w:id="6" w:name="_bookmark6"/>
      <w:bookmarkEnd w:id="6"/>
      <w:r>
        <w:t>Description of the investigational</w:t>
      </w:r>
      <w:r>
        <w:rPr>
          <w:spacing w:val="-4"/>
        </w:rPr>
        <w:t xml:space="preserve"> </w:t>
      </w:r>
      <w:r>
        <w:t>treatments</w:t>
      </w:r>
    </w:p>
    <w:p w:rsidR="00B0268C" w:rsidRDefault="00B0268C">
      <w:pPr>
        <w:pStyle w:val="BodyText"/>
        <w:spacing w:before="7"/>
        <w:rPr>
          <w:rFonts w:ascii="Arial"/>
          <w:b/>
          <w:sz w:val="23"/>
        </w:rPr>
      </w:pPr>
    </w:p>
    <w:p w:rsidR="00B0268C" w:rsidRDefault="00C408FB">
      <w:pPr>
        <w:pStyle w:val="BodyText"/>
        <w:spacing w:before="1"/>
        <w:ind w:left="114" w:right="112"/>
        <w:jc w:val="both"/>
      </w:pPr>
      <w:r>
        <w:t xml:space="preserve">This study aims to determine if the two anti-VEFG agents Bevacizumab or </w:t>
      </w:r>
      <w:proofErr w:type="spellStart"/>
      <w:r>
        <w:t>Afilbercept</w:t>
      </w:r>
      <w:proofErr w:type="spellEnd"/>
      <w:r>
        <w:t xml:space="preserve"> are as effective as Ranibizumab in reducing visual loss from MO due to CRVO, whether they</w:t>
      </w:r>
      <w:r>
        <w:rPr>
          <w:spacing w:val="59"/>
        </w:rPr>
        <w:t xml:space="preserve"> </w:t>
      </w:r>
      <w:r>
        <w:t>have</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BodyText"/>
        <w:spacing w:before="80"/>
        <w:ind w:left="114" w:right="117"/>
        <w:jc w:val="both"/>
      </w:pPr>
      <w:proofErr w:type="gramStart"/>
      <w:r>
        <w:lastRenderedPageBreak/>
        <w:t>an</w:t>
      </w:r>
      <w:proofErr w:type="gramEnd"/>
      <w:r>
        <w:t xml:space="preserve"> equivalent side effect profile and whether either could be considered as a recommended NHS treatment based on non-inferior clinical effectiveness and superior cost-effectiveness.</w:t>
      </w:r>
    </w:p>
    <w:p w:rsidR="00B0268C" w:rsidRDefault="00B0268C">
      <w:pPr>
        <w:pStyle w:val="BodyText"/>
      </w:pPr>
    </w:p>
    <w:p w:rsidR="00B0268C" w:rsidRDefault="00C408FB">
      <w:pPr>
        <w:pStyle w:val="BodyText"/>
        <w:ind w:left="114" w:right="110"/>
        <w:jc w:val="both"/>
      </w:pPr>
      <w:r>
        <w:t>Aflibercept or VEGF Trap-Eye (</w:t>
      </w:r>
      <w:proofErr w:type="spellStart"/>
      <w:r>
        <w:t>Eylea</w:t>
      </w:r>
      <w:proofErr w:type="spellEnd"/>
      <w:r>
        <w:t xml:space="preserve">, Bayer/Regeneron), is a fusion protein of the key domains of VEGF receptors 1 and 2 and human </w:t>
      </w:r>
      <w:proofErr w:type="spellStart"/>
      <w:r>
        <w:t>IgGFc</w:t>
      </w:r>
      <w:proofErr w:type="spellEnd"/>
      <w:r>
        <w:t xml:space="preserve"> that blocks all VEGF-</w:t>
      </w:r>
      <w:proofErr w:type="gramStart"/>
      <w:r>
        <w:t>A</w:t>
      </w:r>
      <w:proofErr w:type="gramEnd"/>
      <w:r>
        <w:t xml:space="preserve"> isoforms and placental growth factor. Like </w:t>
      </w:r>
      <w:proofErr w:type="spellStart"/>
      <w:r>
        <w:t>ranibizumab</w:t>
      </w:r>
      <w:proofErr w:type="spellEnd"/>
      <w:r>
        <w:t xml:space="preserve">, it is EMA licensed for </w:t>
      </w:r>
      <w:proofErr w:type="spellStart"/>
      <w:r>
        <w:t>nvAMD</w:t>
      </w:r>
      <w:proofErr w:type="spellEnd"/>
      <w:r>
        <w:t>, DMO and RVO. It is FDA approved for CRVO and NICE has recommended this drug for MO due to CRVO (TA 305).</w:t>
      </w:r>
    </w:p>
    <w:p w:rsidR="00B0268C" w:rsidRDefault="00B0268C">
      <w:pPr>
        <w:pStyle w:val="BodyText"/>
      </w:pPr>
    </w:p>
    <w:p w:rsidR="00B0268C" w:rsidRDefault="00C408FB">
      <w:pPr>
        <w:pStyle w:val="BodyText"/>
        <w:ind w:left="114" w:right="111"/>
        <w:jc w:val="both"/>
      </w:pPr>
      <w:r>
        <w:t>Bevacizumab (</w:t>
      </w:r>
      <w:proofErr w:type="spellStart"/>
      <w:r>
        <w:t>Avastin</w:t>
      </w:r>
      <w:proofErr w:type="spellEnd"/>
      <w:r>
        <w:t xml:space="preserve">, </w:t>
      </w:r>
      <w:proofErr w:type="spellStart"/>
      <w:r>
        <w:t>Genetech</w:t>
      </w:r>
      <w:proofErr w:type="spellEnd"/>
      <w:r>
        <w:t xml:space="preserve">/Roche), is a monoclonal antibody that inhibits vascular endothelial growth factor (VEGF), a mediator in the pathogenesis of common and disabling eye disorders including </w:t>
      </w:r>
      <w:proofErr w:type="spellStart"/>
      <w:r>
        <w:t>neovascular</w:t>
      </w:r>
      <w:proofErr w:type="spellEnd"/>
      <w:r>
        <w:t xml:space="preserve"> age related macular degeneration (</w:t>
      </w:r>
      <w:proofErr w:type="spellStart"/>
      <w:r>
        <w:t>nvAMD</w:t>
      </w:r>
      <w:proofErr w:type="spellEnd"/>
      <w:r>
        <w:t xml:space="preserve">), diabetic macular oedema (DMO) and retinal vein occlusion (RVO). Bevacizumab is EMA licensed for the treatment of cancer but not for use in the eye. There is limited evidence regarding its use in central retinal vein occlusion (CRVO) with macular oedema (MO). To date, bevacizumab has been found to be non-inferior to </w:t>
      </w:r>
      <w:proofErr w:type="spellStart"/>
      <w:r>
        <w:t>ranibizumab</w:t>
      </w:r>
      <w:proofErr w:type="spellEnd"/>
      <w:r>
        <w:t xml:space="preserve"> for all visual acuity primary and secondary endpoints in </w:t>
      </w:r>
      <w:proofErr w:type="spellStart"/>
      <w:r>
        <w:t>nvAMD</w:t>
      </w:r>
      <w:proofErr w:type="spellEnd"/>
      <w:r>
        <w:t xml:space="preserve"> in the IVAN and CATT studies (</w:t>
      </w:r>
      <w:hyperlink w:anchor="_bookmark91" w:history="1">
        <w:r>
          <w:t>10</w:t>
        </w:r>
      </w:hyperlink>
      <w:r>
        <w:t xml:space="preserve">, </w:t>
      </w:r>
      <w:hyperlink w:anchor="_bookmark92" w:history="1">
        <w:r>
          <w:t>11</w:t>
        </w:r>
      </w:hyperlink>
      <w:r>
        <w:t>).</w:t>
      </w:r>
    </w:p>
    <w:p w:rsidR="00B0268C" w:rsidRDefault="00B0268C">
      <w:pPr>
        <w:pStyle w:val="BodyText"/>
        <w:spacing w:before="4"/>
      </w:pPr>
    </w:p>
    <w:p w:rsidR="00B0268C" w:rsidRDefault="00C408FB">
      <w:pPr>
        <w:pStyle w:val="Heading2"/>
        <w:numPr>
          <w:ilvl w:val="1"/>
          <w:numId w:val="26"/>
        </w:numPr>
        <w:tabs>
          <w:tab w:val="left" w:pos="517"/>
        </w:tabs>
        <w:spacing w:before="1"/>
        <w:ind w:left="114" w:right="497" w:firstLine="0"/>
      </w:pPr>
      <w:bookmarkStart w:id="7" w:name="_bookmark7"/>
      <w:bookmarkEnd w:id="7"/>
      <w:r>
        <w:t>Description of the motivation for the study / need to investigate the new treatment</w:t>
      </w:r>
    </w:p>
    <w:p w:rsidR="00B0268C" w:rsidRDefault="00B0268C">
      <w:pPr>
        <w:pStyle w:val="BodyText"/>
        <w:spacing w:before="7"/>
        <w:rPr>
          <w:rFonts w:ascii="Arial"/>
          <w:b/>
          <w:sz w:val="23"/>
        </w:rPr>
      </w:pPr>
    </w:p>
    <w:p w:rsidR="00B0268C" w:rsidRDefault="00C408FB">
      <w:pPr>
        <w:pStyle w:val="BodyText"/>
        <w:ind w:left="114" w:right="108"/>
        <w:jc w:val="both"/>
      </w:pPr>
      <w:r>
        <w:t xml:space="preserve">This project will compare the relative clinical and cost effectiveness of </w:t>
      </w:r>
      <w:r>
        <w:rPr>
          <w:spacing w:val="2"/>
        </w:rPr>
        <w:t xml:space="preserve">the </w:t>
      </w:r>
      <w:r>
        <w:t xml:space="preserve">anti-VEGF </w:t>
      </w:r>
      <w:proofErr w:type="gramStart"/>
      <w:r>
        <w:t>agents</w:t>
      </w:r>
      <w:proofErr w:type="gramEnd"/>
      <w:r>
        <w:t xml:space="preserve"> bevacizumab, </w:t>
      </w:r>
      <w:proofErr w:type="spellStart"/>
      <w:r>
        <w:t>aflibercept</w:t>
      </w:r>
      <w:proofErr w:type="spellEnd"/>
      <w:r>
        <w:t xml:space="preserve">, and </w:t>
      </w:r>
      <w:proofErr w:type="spellStart"/>
      <w:r>
        <w:t>ranibizumab</w:t>
      </w:r>
      <w:proofErr w:type="spellEnd"/>
      <w:r>
        <w:t xml:space="preserve"> in MO due to CRVO over 100 weeks which is of critical importance to the NHS in the next 10 years. The NICE Final Appraisal Document for </w:t>
      </w:r>
      <w:proofErr w:type="spellStart"/>
      <w:r>
        <w:t>ranibizumab</w:t>
      </w:r>
      <w:proofErr w:type="spellEnd"/>
      <w:r>
        <w:t xml:space="preserve"> in RVO has recommended that further research is required comparing </w:t>
      </w:r>
      <w:proofErr w:type="spellStart"/>
      <w:r>
        <w:t>ranibizumab</w:t>
      </w:r>
      <w:proofErr w:type="spellEnd"/>
      <w:r>
        <w:t xml:space="preserve"> and bevacizumab (</w:t>
      </w:r>
      <w:hyperlink w:anchor="_bookmark93" w:history="1">
        <w:r>
          <w:t>12</w:t>
        </w:r>
      </w:hyperlink>
      <w:r>
        <w:t xml:space="preserve">) and there are no comparisons to date of </w:t>
      </w:r>
      <w:proofErr w:type="gramStart"/>
      <w:r>
        <w:t>bevacizumab  and</w:t>
      </w:r>
      <w:proofErr w:type="gramEnd"/>
      <w:r>
        <w:t xml:space="preserve"> </w:t>
      </w:r>
      <w:proofErr w:type="spellStart"/>
      <w:r>
        <w:t>ranibizumab</w:t>
      </w:r>
      <w:proofErr w:type="spellEnd"/>
      <w:r>
        <w:t xml:space="preserve"> with </w:t>
      </w:r>
      <w:proofErr w:type="spellStart"/>
      <w:r>
        <w:t>aflibercept</w:t>
      </w:r>
      <w:proofErr w:type="spellEnd"/>
      <w:r>
        <w:t xml:space="preserve">. This trial will be the first well-powered Phase III trial exploring the relative effectiveness of these drugs and </w:t>
      </w:r>
      <w:proofErr w:type="spellStart"/>
      <w:r>
        <w:t>aflibercept</w:t>
      </w:r>
      <w:proofErr w:type="spellEnd"/>
      <w:r>
        <w:t xml:space="preserve"> in the management of MO in CRVO. This study will inform us of the potential use of the most clinically effective and cost-effective drug for this condition in the NHS by providing a better understanding of the economic and societal impact of RVO in the long-term and help decision makers evaluate and compare these medical interventions over the duration of the natural history of the condition.</w:t>
      </w:r>
    </w:p>
    <w:p w:rsidR="00B0268C" w:rsidRDefault="00B0268C">
      <w:pPr>
        <w:pStyle w:val="BodyText"/>
        <w:rPr>
          <w:sz w:val="26"/>
        </w:rPr>
      </w:pPr>
    </w:p>
    <w:p w:rsidR="00B0268C" w:rsidRDefault="00B0268C">
      <w:pPr>
        <w:pStyle w:val="BodyText"/>
        <w:spacing w:before="6"/>
        <w:rPr>
          <w:sz w:val="22"/>
        </w:rPr>
      </w:pPr>
    </w:p>
    <w:p w:rsidR="00B0268C" w:rsidRDefault="00C408FB">
      <w:pPr>
        <w:pStyle w:val="Heading1"/>
        <w:numPr>
          <w:ilvl w:val="1"/>
          <w:numId w:val="25"/>
        </w:numPr>
        <w:tabs>
          <w:tab w:val="left" w:pos="582"/>
        </w:tabs>
        <w:spacing w:before="0"/>
      </w:pPr>
      <w:bookmarkStart w:id="8" w:name="_bookmark8"/>
      <w:bookmarkEnd w:id="8"/>
      <w:r>
        <w:t>Populations and Study</w:t>
      </w:r>
      <w:r>
        <w:rPr>
          <w:spacing w:val="-9"/>
        </w:rPr>
        <w:t xml:space="preserve"> </w:t>
      </w:r>
      <w:r>
        <w:t>Sample</w:t>
      </w:r>
    </w:p>
    <w:p w:rsidR="00B0268C" w:rsidRDefault="00C408FB">
      <w:pPr>
        <w:pStyle w:val="Heading2"/>
        <w:numPr>
          <w:ilvl w:val="1"/>
          <w:numId w:val="25"/>
        </w:numPr>
        <w:tabs>
          <w:tab w:val="left" w:pos="517"/>
        </w:tabs>
        <w:spacing w:before="265"/>
        <w:ind w:left="516" w:hanging="403"/>
      </w:pPr>
      <w:bookmarkStart w:id="9" w:name="_bookmark9"/>
      <w:bookmarkEnd w:id="9"/>
      <w:r>
        <w:t>Target</w:t>
      </w:r>
      <w:r>
        <w:rPr>
          <w:spacing w:val="-1"/>
        </w:rPr>
        <w:t xml:space="preserve"> </w:t>
      </w:r>
      <w:r>
        <w:t>Population</w:t>
      </w:r>
    </w:p>
    <w:p w:rsidR="00B0268C" w:rsidRDefault="00B0268C">
      <w:pPr>
        <w:pStyle w:val="BodyText"/>
        <w:spacing w:before="7"/>
        <w:rPr>
          <w:rFonts w:ascii="Arial"/>
          <w:b/>
          <w:sz w:val="22"/>
        </w:rPr>
      </w:pPr>
    </w:p>
    <w:p w:rsidR="00B0268C" w:rsidRDefault="00C408FB">
      <w:pPr>
        <w:pStyle w:val="BodyText"/>
        <w:ind w:left="114" w:right="117"/>
        <w:jc w:val="both"/>
      </w:pPr>
      <w:r>
        <w:t xml:space="preserve">The </w:t>
      </w:r>
      <w:r>
        <w:rPr>
          <w:i/>
        </w:rPr>
        <w:t>target population</w:t>
      </w:r>
      <w:r>
        <w:t>, to which inferences from the end of this trial are intended to generalise, is the population of adult patients with MO due to CRVO.</w:t>
      </w:r>
    </w:p>
    <w:p w:rsidR="00B0268C" w:rsidRDefault="00B0268C">
      <w:pPr>
        <w:pStyle w:val="BodyText"/>
        <w:spacing w:before="4"/>
      </w:pPr>
    </w:p>
    <w:p w:rsidR="00B0268C" w:rsidRDefault="00C408FB">
      <w:pPr>
        <w:pStyle w:val="Heading2"/>
        <w:numPr>
          <w:ilvl w:val="1"/>
          <w:numId w:val="25"/>
        </w:numPr>
        <w:tabs>
          <w:tab w:val="left" w:pos="517"/>
        </w:tabs>
        <w:ind w:left="516" w:hanging="403"/>
      </w:pPr>
      <w:bookmarkStart w:id="10" w:name="_bookmark10"/>
      <w:bookmarkEnd w:id="10"/>
      <w:r>
        <w:t>Trial</w:t>
      </w:r>
      <w:r>
        <w:rPr>
          <w:spacing w:val="-3"/>
        </w:rPr>
        <w:t xml:space="preserve"> </w:t>
      </w:r>
      <w:r>
        <w:t>Population</w:t>
      </w:r>
    </w:p>
    <w:p w:rsidR="00B0268C" w:rsidRDefault="00B0268C">
      <w:pPr>
        <w:pStyle w:val="BodyText"/>
        <w:spacing w:before="8"/>
        <w:rPr>
          <w:rFonts w:ascii="Arial"/>
          <w:b/>
          <w:sz w:val="22"/>
        </w:rPr>
      </w:pPr>
    </w:p>
    <w:p w:rsidR="00B0268C" w:rsidRDefault="00C408FB">
      <w:pPr>
        <w:pStyle w:val="BodyText"/>
        <w:ind w:left="114" w:right="107"/>
        <w:jc w:val="both"/>
      </w:pPr>
      <w:r>
        <w:rPr>
          <w:i/>
        </w:rPr>
        <w:t>The trial population</w:t>
      </w:r>
      <w:r>
        <w:t>, from which the study sample is drawn, is further defined to be adults aged 18 year or over, of less than 12 months duration who attend the 40 ophthalmology centres in the UK with expertise in retinal disorders and a proven track record in effective research.</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BodyText"/>
        <w:spacing w:before="80"/>
        <w:ind w:left="114" w:right="106"/>
        <w:jc w:val="both"/>
      </w:pPr>
      <w:bookmarkStart w:id="11" w:name="_bookmark11"/>
      <w:bookmarkEnd w:id="11"/>
      <w:r>
        <w:lastRenderedPageBreak/>
        <w:t xml:space="preserve">Only one </w:t>
      </w:r>
      <w:r>
        <w:rPr>
          <w:spacing w:val="-3"/>
        </w:rPr>
        <w:t xml:space="preserve">eye </w:t>
      </w:r>
      <w:r>
        <w:t xml:space="preserve">per </w:t>
      </w:r>
      <w:r>
        <w:rPr>
          <w:spacing w:val="-3"/>
        </w:rPr>
        <w:t xml:space="preserve">patient </w:t>
      </w:r>
      <w:r>
        <w:t xml:space="preserve">will be included in the trial. </w:t>
      </w:r>
      <w:r>
        <w:rPr>
          <w:spacing w:val="-3"/>
        </w:rPr>
        <w:t xml:space="preserve">In subjects </w:t>
      </w:r>
      <w:r>
        <w:t>with both eyes meeting the eligibility</w:t>
      </w:r>
      <w:r>
        <w:rPr>
          <w:spacing w:val="-10"/>
        </w:rPr>
        <w:t xml:space="preserve"> </w:t>
      </w:r>
      <w:r>
        <w:t>criteria,</w:t>
      </w:r>
      <w:r>
        <w:rPr>
          <w:spacing w:val="-6"/>
        </w:rPr>
        <w:t xml:space="preserve"> </w:t>
      </w:r>
      <w:r>
        <w:t>then</w:t>
      </w:r>
      <w:r>
        <w:rPr>
          <w:spacing w:val="-5"/>
        </w:rPr>
        <w:t xml:space="preserve"> </w:t>
      </w:r>
      <w:r>
        <w:t>the</w:t>
      </w:r>
      <w:r>
        <w:rPr>
          <w:spacing w:val="-6"/>
        </w:rPr>
        <w:t xml:space="preserve"> </w:t>
      </w:r>
      <w:r>
        <w:rPr>
          <w:spacing w:val="-3"/>
        </w:rPr>
        <w:t xml:space="preserve">‘worst </w:t>
      </w:r>
      <w:r>
        <w:t>seeing</w:t>
      </w:r>
      <w:r>
        <w:rPr>
          <w:spacing w:val="-5"/>
        </w:rPr>
        <w:t xml:space="preserve"> </w:t>
      </w:r>
      <w:r>
        <w:t>eye’</w:t>
      </w:r>
      <w:r>
        <w:rPr>
          <w:spacing w:val="-6"/>
        </w:rPr>
        <w:t xml:space="preserve"> </w:t>
      </w:r>
      <w:r>
        <w:t>will</w:t>
      </w:r>
      <w:r>
        <w:rPr>
          <w:spacing w:val="-3"/>
        </w:rPr>
        <w:t xml:space="preserve"> </w:t>
      </w:r>
      <w:r>
        <w:t>be</w:t>
      </w:r>
      <w:r>
        <w:rPr>
          <w:spacing w:val="-6"/>
        </w:rPr>
        <w:t xml:space="preserve"> </w:t>
      </w:r>
      <w:r>
        <w:t>enrolled</w:t>
      </w:r>
      <w:r>
        <w:rPr>
          <w:spacing w:val="-4"/>
        </w:rPr>
        <w:t xml:space="preserve"> </w:t>
      </w:r>
      <w:r>
        <w:t>unless</w:t>
      </w:r>
      <w:r>
        <w:rPr>
          <w:spacing w:val="-5"/>
        </w:rPr>
        <w:t xml:space="preserve"> </w:t>
      </w:r>
      <w:r>
        <w:t>the</w:t>
      </w:r>
      <w:r>
        <w:rPr>
          <w:spacing w:val="-6"/>
        </w:rPr>
        <w:t xml:space="preserve"> </w:t>
      </w:r>
      <w:proofErr w:type="gramStart"/>
      <w:r>
        <w:t>patients</w:t>
      </w:r>
      <w:proofErr w:type="gramEnd"/>
      <w:r>
        <w:rPr>
          <w:spacing w:val="-6"/>
        </w:rPr>
        <w:t xml:space="preserve"> </w:t>
      </w:r>
      <w:r>
        <w:rPr>
          <w:spacing w:val="-3"/>
        </w:rPr>
        <w:t>preference</w:t>
      </w:r>
      <w:r>
        <w:rPr>
          <w:spacing w:val="-4"/>
        </w:rPr>
        <w:t xml:space="preserve"> </w:t>
      </w:r>
      <w:r>
        <w:t xml:space="preserve">is </w:t>
      </w:r>
      <w:r>
        <w:rPr>
          <w:spacing w:val="-3"/>
        </w:rPr>
        <w:t xml:space="preserve">for </w:t>
      </w:r>
      <w:r>
        <w:t xml:space="preserve">the best seeing </w:t>
      </w:r>
      <w:r>
        <w:rPr>
          <w:spacing w:val="-3"/>
        </w:rPr>
        <w:t xml:space="preserve">eye </w:t>
      </w:r>
      <w:r>
        <w:t xml:space="preserve">(see </w:t>
      </w:r>
      <w:r>
        <w:rPr>
          <w:spacing w:val="-3"/>
        </w:rPr>
        <w:t>section</w:t>
      </w:r>
      <w:r>
        <w:rPr>
          <w:spacing w:val="-29"/>
        </w:rPr>
        <w:t xml:space="preserve"> </w:t>
      </w:r>
      <w:r>
        <w:rPr>
          <w:spacing w:val="-3"/>
        </w:rPr>
        <w:t>7.3).</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Heading2"/>
        <w:numPr>
          <w:ilvl w:val="1"/>
          <w:numId w:val="25"/>
        </w:numPr>
        <w:tabs>
          <w:tab w:val="left" w:pos="517"/>
        </w:tabs>
        <w:spacing w:before="83"/>
        <w:ind w:left="516" w:hanging="403"/>
      </w:pPr>
      <w:r>
        <w:lastRenderedPageBreak/>
        <w:t>Trial</w:t>
      </w:r>
      <w:r>
        <w:rPr>
          <w:spacing w:val="-3"/>
        </w:rPr>
        <w:t xml:space="preserve"> </w:t>
      </w:r>
      <w:r>
        <w:t>Samples</w:t>
      </w:r>
    </w:p>
    <w:p w:rsidR="00B0268C" w:rsidRDefault="00C408FB">
      <w:pPr>
        <w:pStyle w:val="ListParagraph"/>
        <w:numPr>
          <w:ilvl w:val="2"/>
          <w:numId w:val="25"/>
        </w:numPr>
        <w:tabs>
          <w:tab w:val="left" w:pos="614"/>
        </w:tabs>
        <w:spacing w:before="201"/>
        <w:rPr>
          <w:rFonts w:ascii="Arial"/>
          <w:b/>
          <w:sz w:val="20"/>
        </w:rPr>
      </w:pPr>
      <w:bookmarkStart w:id="12" w:name="_bookmark12"/>
      <w:bookmarkEnd w:id="12"/>
      <w:r>
        <w:rPr>
          <w:rFonts w:ascii="Arial"/>
          <w:b/>
          <w:sz w:val="20"/>
        </w:rPr>
        <w:t>Intention To Treat</w:t>
      </w:r>
      <w:r>
        <w:rPr>
          <w:rFonts w:ascii="Arial"/>
          <w:b/>
          <w:spacing w:val="-1"/>
          <w:sz w:val="20"/>
        </w:rPr>
        <w:t xml:space="preserve"> </w:t>
      </w:r>
      <w:r>
        <w:rPr>
          <w:rFonts w:ascii="Arial"/>
          <w:b/>
          <w:sz w:val="20"/>
        </w:rPr>
        <w:t>(ITT)</w:t>
      </w:r>
    </w:p>
    <w:p w:rsidR="00B0268C" w:rsidRDefault="00B0268C">
      <w:pPr>
        <w:pStyle w:val="BodyText"/>
        <w:spacing w:before="9"/>
        <w:rPr>
          <w:rFonts w:ascii="Arial"/>
          <w:b/>
          <w:sz w:val="23"/>
        </w:rPr>
      </w:pPr>
    </w:p>
    <w:p w:rsidR="00B0268C" w:rsidRDefault="00C408FB">
      <w:pPr>
        <w:pStyle w:val="BodyText"/>
        <w:ind w:left="114" w:right="118"/>
        <w:jc w:val="both"/>
      </w:pPr>
      <w:r>
        <w:t>The achieved trial sample comprises those patients who consent to participate and are actually randomised into this trial. These patients are the study subjects.</w:t>
      </w:r>
    </w:p>
    <w:p w:rsidR="00B0268C" w:rsidRDefault="00B0268C">
      <w:pPr>
        <w:pStyle w:val="BodyText"/>
      </w:pPr>
    </w:p>
    <w:p w:rsidR="00B0268C" w:rsidRDefault="00C408FB">
      <w:pPr>
        <w:pStyle w:val="BodyText"/>
        <w:spacing w:before="1"/>
        <w:ind w:left="114" w:right="108"/>
        <w:jc w:val="both"/>
      </w:pPr>
      <w:r>
        <w:t xml:space="preserve">This randomised trial sample is also the trial Intention </w:t>
      </w:r>
      <w:proofErr w:type="gramStart"/>
      <w:r>
        <w:t>To</w:t>
      </w:r>
      <w:proofErr w:type="gramEnd"/>
      <w:r>
        <w:t xml:space="preserve"> Treat (ITT) population. The intention-to-treat principle states that every subject will be analysed according to the treatment group to which they were randomised. In this trial, subjects’ data will be analysed according to the </w:t>
      </w:r>
      <w:r>
        <w:rPr>
          <w:i/>
        </w:rPr>
        <w:t xml:space="preserve">Intention to Treat Strategy </w:t>
      </w:r>
      <w:r>
        <w:t>(</w:t>
      </w:r>
      <w:hyperlink w:anchor="_bookmark94" w:history="1">
        <w:r>
          <w:t>13</w:t>
        </w:r>
      </w:hyperlink>
      <w:r>
        <w:t>), under which at least one analysis is recommended to be based on the ITT population.</w:t>
      </w:r>
    </w:p>
    <w:p w:rsidR="00B0268C" w:rsidRDefault="00B0268C">
      <w:pPr>
        <w:pStyle w:val="BodyText"/>
        <w:spacing w:before="11"/>
        <w:rPr>
          <w:sz w:val="23"/>
        </w:rPr>
      </w:pPr>
    </w:p>
    <w:p w:rsidR="00B0268C" w:rsidRDefault="00C408FB">
      <w:pPr>
        <w:pStyle w:val="BodyText"/>
        <w:ind w:left="114" w:right="111"/>
        <w:jc w:val="both"/>
      </w:pPr>
      <w:r>
        <w:t>The trial ITT population comprises all randomised participants, regardless of eligibility (inclusion/exclusion) error, post-randomisation withdrawal, and whether the correct study treatments were received, or other interventions received.</w:t>
      </w:r>
    </w:p>
    <w:p w:rsidR="00B0268C" w:rsidRDefault="00C408FB">
      <w:pPr>
        <w:pStyle w:val="ListParagraph"/>
        <w:numPr>
          <w:ilvl w:val="2"/>
          <w:numId w:val="25"/>
        </w:numPr>
        <w:tabs>
          <w:tab w:val="left" w:pos="614"/>
        </w:tabs>
        <w:spacing w:before="205"/>
        <w:rPr>
          <w:rFonts w:ascii="Arial"/>
          <w:b/>
          <w:sz w:val="20"/>
        </w:rPr>
      </w:pPr>
      <w:bookmarkStart w:id="13" w:name="_bookmark13"/>
      <w:bookmarkEnd w:id="13"/>
      <w:r>
        <w:rPr>
          <w:rFonts w:ascii="Arial"/>
          <w:b/>
          <w:sz w:val="20"/>
        </w:rPr>
        <w:t>Per Protocol</w:t>
      </w:r>
      <w:r>
        <w:rPr>
          <w:rFonts w:ascii="Arial"/>
          <w:b/>
          <w:spacing w:val="1"/>
          <w:sz w:val="20"/>
        </w:rPr>
        <w:t xml:space="preserve"> </w:t>
      </w:r>
      <w:r>
        <w:rPr>
          <w:rFonts w:ascii="Arial"/>
          <w:b/>
          <w:sz w:val="20"/>
        </w:rPr>
        <w:t>(PP)</w:t>
      </w:r>
    </w:p>
    <w:p w:rsidR="00B0268C" w:rsidRDefault="00B0268C">
      <w:pPr>
        <w:pStyle w:val="BodyText"/>
        <w:spacing w:before="7"/>
        <w:rPr>
          <w:rFonts w:ascii="Arial"/>
          <w:b/>
          <w:sz w:val="23"/>
        </w:rPr>
      </w:pPr>
    </w:p>
    <w:p w:rsidR="00B0268C" w:rsidRDefault="00C408FB">
      <w:pPr>
        <w:pStyle w:val="BodyText"/>
        <w:ind w:left="114"/>
      </w:pPr>
      <w:r>
        <w:rPr>
          <w:u w:val="single"/>
        </w:rPr>
        <w:t>Definition</w:t>
      </w:r>
    </w:p>
    <w:p w:rsidR="00B0268C" w:rsidRDefault="00B0268C">
      <w:pPr>
        <w:pStyle w:val="BodyText"/>
        <w:spacing w:before="2"/>
        <w:rPr>
          <w:sz w:val="16"/>
        </w:rPr>
      </w:pPr>
    </w:p>
    <w:p w:rsidR="00B0268C" w:rsidRDefault="00C408FB">
      <w:pPr>
        <w:pStyle w:val="BodyText"/>
        <w:spacing w:before="90"/>
        <w:ind w:left="114" w:right="111"/>
        <w:jc w:val="both"/>
      </w:pPr>
      <w:r>
        <w:t>A per protocol set of subjects will also be included. These will be defined as the subset of the found to be eligible at entry and who had minimal sufficient exposure to the treatment regimen, defined as 4 treatments correctly assessed and received during the first 6 visits up to week 20. For each of the first four visits, a correct treatment is defined as receiving the injection. For the 5</w:t>
      </w:r>
      <w:r>
        <w:rPr>
          <w:vertAlign w:val="superscript"/>
        </w:rPr>
        <w:t>th</w:t>
      </w:r>
      <w:r>
        <w:t xml:space="preserve"> and 6</w:t>
      </w:r>
      <w:r>
        <w:rPr>
          <w:vertAlign w:val="superscript"/>
        </w:rPr>
        <w:t>th</w:t>
      </w:r>
      <w:r>
        <w:t xml:space="preserve"> visits, a correctly assessed and received treatment is defined to be the receipt of an injection where this is indicated to be required by the retreatment criteria or the non-receipt of an injection where this is indicated by the retreatment</w:t>
      </w:r>
      <w:r>
        <w:rPr>
          <w:spacing w:val="-11"/>
        </w:rPr>
        <w:t xml:space="preserve"> </w:t>
      </w:r>
      <w:r>
        <w:t>criteria</w:t>
      </w:r>
      <w:proofErr w:type="gramStart"/>
      <w:r>
        <w:t>..</w:t>
      </w:r>
      <w:proofErr w:type="gramEnd"/>
    </w:p>
    <w:p w:rsidR="00B0268C" w:rsidRDefault="00B0268C">
      <w:pPr>
        <w:pStyle w:val="BodyText"/>
      </w:pPr>
    </w:p>
    <w:p w:rsidR="00B0268C" w:rsidRDefault="00C408FB">
      <w:pPr>
        <w:pStyle w:val="BodyText"/>
        <w:ind w:left="114"/>
      </w:pPr>
      <w:r>
        <w:rPr>
          <w:u w:val="single"/>
        </w:rPr>
        <w:t>Rationale</w:t>
      </w:r>
    </w:p>
    <w:p w:rsidR="00B0268C" w:rsidRDefault="00B0268C">
      <w:pPr>
        <w:pStyle w:val="BodyText"/>
        <w:spacing w:before="3"/>
        <w:rPr>
          <w:sz w:val="16"/>
        </w:rPr>
      </w:pPr>
    </w:p>
    <w:p w:rsidR="00B0268C" w:rsidRDefault="00C408FB">
      <w:pPr>
        <w:spacing w:before="90"/>
        <w:ind w:left="114" w:right="108"/>
        <w:jc w:val="both"/>
        <w:rPr>
          <w:sz w:val="24"/>
        </w:rPr>
      </w:pPr>
      <w:r>
        <w:rPr>
          <w:sz w:val="24"/>
        </w:rPr>
        <w:t xml:space="preserve">The main reason for having </w:t>
      </w:r>
      <w:proofErr w:type="gramStart"/>
      <w:r>
        <w:rPr>
          <w:sz w:val="24"/>
        </w:rPr>
        <w:t>a per</w:t>
      </w:r>
      <w:proofErr w:type="gramEnd"/>
      <w:r>
        <w:rPr>
          <w:sz w:val="24"/>
        </w:rPr>
        <w:t xml:space="preserve"> protocol set comes from the fact that this is a non- inferiority trial and so the use of the full analysis set is generally not conservative (ICH E9 section 5.2.3 (</w:t>
      </w:r>
      <w:hyperlink w:anchor="_bookmark82" w:history="1">
        <w:r>
          <w:rPr>
            <w:sz w:val="24"/>
          </w:rPr>
          <w:t>1</w:t>
        </w:r>
      </w:hyperlink>
      <w:r>
        <w:rPr>
          <w:sz w:val="24"/>
        </w:rPr>
        <w:t xml:space="preserve">)). As </w:t>
      </w:r>
      <w:proofErr w:type="spellStart"/>
      <w:r>
        <w:rPr>
          <w:sz w:val="24"/>
        </w:rPr>
        <w:t>Lesaffre</w:t>
      </w:r>
      <w:proofErr w:type="spellEnd"/>
      <w:r>
        <w:rPr>
          <w:sz w:val="24"/>
        </w:rPr>
        <w:t xml:space="preserve"> 2008 (</w:t>
      </w:r>
      <w:hyperlink w:anchor="_bookmark88" w:history="1">
        <w:r>
          <w:rPr>
            <w:sz w:val="24"/>
          </w:rPr>
          <w:t>7</w:t>
        </w:r>
      </w:hyperlink>
      <w:r>
        <w:rPr>
          <w:sz w:val="24"/>
        </w:rPr>
        <w:t>) states, “</w:t>
      </w:r>
      <w:r>
        <w:rPr>
          <w:i/>
          <w:sz w:val="24"/>
        </w:rPr>
        <w:t>dropouts and a poor conduct of the study might direct the results of the two arms towards each other</w:t>
      </w:r>
      <w:r>
        <w:rPr>
          <w:sz w:val="24"/>
        </w:rPr>
        <w:t>”. Although this can be interpreted as an indication that the per protocol analysis is the conservative choice for non- inferiority studies Garrett AD 2003 (</w:t>
      </w:r>
      <w:hyperlink w:anchor="_bookmark87" w:history="1">
        <w:r>
          <w:rPr>
            <w:sz w:val="24"/>
          </w:rPr>
          <w:t>6</w:t>
        </w:r>
      </w:hyperlink>
      <w:r>
        <w:rPr>
          <w:sz w:val="24"/>
        </w:rPr>
        <w:t>) state that “</w:t>
      </w:r>
      <w:r>
        <w:rPr>
          <w:i/>
          <w:sz w:val="24"/>
        </w:rPr>
        <w:t>The perceived conservative nature of the PP population appears to be much more a reflection of reduced patient numbers than the presence of bias, while bias can be in either direction depending on the pattern of violations</w:t>
      </w:r>
      <w:r>
        <w:rPr>
          <w:sz w:val="24"/>
        </w:rPr>
        <w:t>”. Moreover, with two active treatments it may be more likely that any bias affecting both treatments would be reduced in comparison to a placebo-controlled</w:t>
      </w:r>
      <w:r>
        <w:rPr>
          <w:spacing w:val="-5"/>
          <w:sz w:val="24"/>
        </w:rPr>
        <w:t xml:space="preserve"> </w:t>
      </w:r>
      <w:r>
        <w:rPr>
          <w:sz w:val="24"/>
        </w:rPr>
        <w:t>trial.</w:t>
      </w:r>
    </w:p>
    <w:p w:rsidR="00B0268C" w:rsidRDefault="00B0268C">
      <w:pPr>
        <w:pStyle w:val="BodyText"/>
        <w:spacing w:before="9"/>
        <w:rPr>
          <w:sz w:val="23"/>
        </w:rPr>
      </w:pPr>
    </w:p>
    <w:p w:rsidR="00B0268C" w:rsidRDefault="00C408FB">
      <w:pPr>
        <w:pStyle w:val="BodyText"/>
        <w:ind w:left="114"/>
      </w:pPr>
      <w:r>
        <w:rPr>
          <w:u w:val="single"/>
        </w:rPr>
        <w:t>Prominence</w:t>
      </w:r>
    </w:p>
    <w:p w:rsidR="00B0268C" w:rsidRDefault="00B0268C">
      <w:pPr>
        <w:pStyle w:val="BodyText"/>
        <w:spacing w:before="3"/>
        <w:rPr>
          <w:sz w:val="16"/>
        </w:rPr>
      </w:pPr>
    </w:p>
    <w:p w:rsidR="00B0268C" w:rsidRDefault="00C408FB">
      <w:pPr>
        <w:pStyle w:val="BodyText"/>
        <w:spacing w:before="90"/>
        <w:ind w:left="114" w:right="113"/>
        <w:jc w:val="both"/>
      </w:pPr>
      <w:r>
        <w:t>Non-inferiority will only be declared if both ITT and the PP analysis are supportive of a non- inferiority conclusion. This is supported by the Committee on Proprietary Medical Products Points-to-Consider (</w:t>
      </w:r>
      <w:hyperlink w:anchor="_bookmark86" w:history="1">
        <w:r>
          <w:t>5</w:t>
        </w:r>
      </w:hyperlink>
      <w:r>
        <w:t>) and several other papers (</w:t>
      </w:r>
      <w:hyperlink w:anchor="_bookmark88" w:history="1">
        <w:r>
          <w:t xml:space="preserve">7, </w:t>
        </w:r>
      </w:hyperlink>
      <w:hyperlink w:anchor="_bookmark95" w:history="1">
        <w:r>
          <w:t>14</w:t>
        </w:r>
      </w:hyperlink>
      <w:r>
        <w:t>).</w:t>
      </w:r>
    </w:p>
    <w:p w:rsidR="00B0268C" w:rsidRDefault="00B0268C">
      <w:pPr>
        <w:pStyle w:val="BodyText"/>
      </w:pPr>
    </w:p>
    <w:p w:rsidR="00B0268C" w:rsidRDefault="00C408FB">
      <w:pPr>
        <w:pStyle w:val="BodyText"/>
        <w:ind w:left="114" w:right="111"/>
        <w:jc w:val="both"/>
      </w:pPr>
      <w:r>
        <w:t xml:space="preserve">The requirement to declare </w:t>
      </w:r>
      <w:proofErr w:type="spellStart"/>
      <w:r>
        <w:t>noninferiority</w:t>
      </w:r>
      <w:proofErr w:type="spellEnd"/>
      <w:r>
        <w:t xml:space="preserve"> in both the ITT and the PP analyses promotes the adherence to treatment protocol and the minimisation of exclusions, maintaining power.</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Heading2"/>
        <w:numPr>
          <w:ilvl w:val="1"/>
          <w:numId w:val="25"/>
        </w:numPr>
        <w:tabs>
          <w:tab w:val="left" w:pos="517"/>
        </w:tabs>
        <w:spacing w:before="83"/>
        <w:ind w:left="516" w:hanging="403"/>
      </w:pPr>
      <w:bookmarkStart w:id="14" w:name="_bookmark14"/>
      <w:bookmarkEnd w:id="14"/>
      <w:r>
        <w:lastRenderedPageBreak/>
        <w:t>Inclusion and Exclusion</w:t>
      </w:r>
      <w:r>
        <w:rPr>
          <w:spacing w:val="-3"/>
        </w:rPr>
        <w:t xml:space="preserve"> </w:t>
      </w:r>
      <w:r>
        <w:t>criteria</w:t>
      </w:r>
    </w:p>
    <w:p w:rsidR="00B0268C" w:rsidRDefault="00B0268C">
      <w:pPr>
        <w:pStyle w:val="BodyText"/>
        <w:spacing w:before="10"/>
        <w:rPr>
          <w:rFonts w:ascii="Arial"/>
          <w:b/>
          <w:sz w:val="22"/>
        </w:rPr>
      </w:pPr>
    </w:p>
    <w:p w:rsidR="00B0268C" w:rsidRDefault="00C408FB">
      <w:pPr>
        <w:pStyle w:val="BodyText"/>
        <w:ind w:left="114"/>
        <w:jc w:val="both"/>
      </w:pPr>
      <w:r>
        <w:t>The inclusion and exclusion criteria are the following:</w:t>
      </w:r>
    </w:p>
    <w:p w:rsidR="00B0268C" w:rsidRDefault="00B0268C">
      <w:pPr>
        <w:pStyle w:val="BodyText"/>
        <w:spacing w:before="5"/>
      </w:pPr>
    </w:p>
    <w:p w:rsidR="00B0268C" w:rsidRDefault="00C408FB">
      <w:pPr>
        <w:pStyle w:val="Heading2"/>
        <w:spacing w:line="274" w:lineRule="exact"/>
        <w:ind w:left="114" w:firstLine="0"/>
        <w:rPr>
          <w:rFonts w:ascii="Times New Roman"/>
        </w:rPr>
      </w:pPr>
      <w:r>
        <w:rPr>
          <w:rFonts w:ascii="Times New Roman"/>
        </w:rPr>
        <w:t>Inclusion criteria:</w:t>
      </w:r>
    </w:p>
    <w:p w:rsidR="00B0268C" w:rsidRDefault="00C408FB">
      <w:pPr>
        <w:pStyle w:val="ListParagraph"/>
        <w:numPr>
          <w:ilvl w:val="0"/>
          <w:numId w:val="24"/>
        </w:numPr>
        <w:tabs>
          <w:tab w:val="left" w:pos="355"/>
        </w:tabs>
        <w:spacing w:line="274" w:lineRule="exact"/>
        <w:ind w:hanging="241"/>
        <w:rPr>
          <w:sz w:val="24"/>
        </w:rPr>
      </w:pPr>
      <w:r>
        <w:rPr>
          <w:sz w:val="24"/>
        </w:rPr>
        <w:t>Subjects of either sex aged ≥ 18</w:t>
      </w:r>
      <w:r>
        <w:rPr>
          <w:spacing w:val="4"/>
          <w:sz w:val="24"/>
        </w:rPr>
        <w:t xml:space="preserve"> </w:t>
      </w:r>
      <w:r>
        <w:rPr>
          <w:sz w:val="24"/>
        </w:rPr>
        <w:t>years.</w:t>
      </w:r>
    </w:p>
    <w:p w:rsidR="00B0268C" w:rsidRDefault="00C408FB">
      <w:pPr>
        <w:pStyle w:val="ListParagraph"/>
        <w:numPr>
          <w:ilvl w:val="0"/>
          <w:numId w:val="24"/>
        </w:numPr>
        <w:tabs>
          <w:tab w:val="left" w:pos="355"/>
        </w:tabs>
        <w:ind w:hanging="241"/>
        <w:rPr>
          <w:sz w:val="24"/>
        </w:rPr>
      </w:pPr>
      <w:r>
        <w:rPr>
          <w:sz w:val="24"/>
        </w:rPr>
        <w:t>Clinical diagnosis of centre-involving macular oedema (MO) due to</w:t>
      </w:r>
      <w:r>
        <w:rPr>
          <w:spacing w:val="-6"/>
          <w:sz w:val="24"/>
        </w:rPr>
        <w:t xml:space="preserve"> </w:t>
      </w:r>
      <w:r>
        <w:rPr>
          <w:sz w:val="24"/>
        </w:rPr>
        <w:t>CRVO</w:t>
      </w:r>
    </w:p>
    <w:p w:rsidR="00B0268C" w:rsidRDefault="00C408FB">
      <w:pPr>
        <w:pStyle w:val="ListParagraph"/>
        <w:numPr>
          <w:ilvl w:val="0"/>
          <w:numId w:val="24"/>
        </w:numPr>
        <w:tabs>
          <w:tab w:val="left" w:pos="355"/>
        </w:tabs>
        <w:ind w:hanging="241"/>
        <w:rPr>
          <w:sz w:val="24"/>
        </w:rPr>
      </w:pPr>
      <w:r>
        <w:rPr>
          <w:sz w:val="24"/>
        </w:rPr>
        <w:t>CRVO of ≤ 12 months</w:t>
      </w:r>
      <w:r>
        <w:rPr>
          <w:spacing w:val="-2"/>
          <w:sz w:val="24"/>
        </w:rPr>
        <w:t xml:space="preserve"> </w:t>
      </w:r>
      <w:r>
        <w:rPr>
          <w:sz w:val="24"/>
        </w:rPr>
        <w:t>duration.</w:t>
      </w:r>
    </w:p>
    <w:p w:rsidR="00B0268C" w:rsidRDefault="00C408FB">
      <w:pPr>
        <w:pStyle w:val="ListParagraph"/>
        <w:numPr>
          <w:ilvl w:val="0"/>
          <w:numId w:val="24"/>
        </w:numPr>
        <w:tabs>
          <w:tab w:val="left" w:pos="374"/>
        </w:tabs>
        <w:ind w:left="114" w:right="113" w:firstLine="0"/>
        <w:rPr>
          <w:sz w:val="24"/>
        </w:rPr>
      </w:pPr>
      <w:r>
        <w:rPr>
          <w:sz w:val="24"/>
        </w:rPr>
        <w:t>Best corrected visual acuity in the study eye ≥ 19 and ≤ 78 ETDRS letters (approximate Snellen VA 3/60 to VA</w:t>
      </w:r>
      <w:r>
        <w:rPr>
          <w:spacing w:val="-3"/>
          <w:sz w:val="24"/>
        </w:rPr>
        <w:t xml:space="preserve"> </w:t>
      </w:r>
      <w:r>
        <w:rPr>
          <w:sz w:val="24"/>
        </w:rPr>
        <w:t>6/9).</w:t>
      </w:r>
    </w:p>
    <w:p w:rsidR="00B0268C" w:rsidRDefault="00C408FB">
      <w:pPr>
        <w:pStyle w:val="ListParagraph"/>
        <w:numPr>
          <w:ilvl w:val="0"/>
          <w:numId w:val="24"/>
        </w:numPr>
        <w:tabs>
          <w:tab w:val="left" w:pos="412"/>
        </w:tabs>
        <w:ind w:left="114" w:right="112" w:firstLine="0"/>
        <w:rPr>
          <w:sz w:val="24"/>
        </w:rPr>
      </w:pPr>
      <w:r>
        <w:rPr>
          <w:sz w:val="24"/>
        </w:rPr>
        <w:t>Best corrected visual acuity in the non-study eye ≥ 14 ETDRS letters (approximate Snellen VA ≥</w:t>
      </w:r>
      <w:r>
        <w:rPr>
          <w:spacing w:val="-2"/>
          <w:sz w:val="24"/>
        </w:rPr>
        <w:t xml:space="preserve"> </w:t>
      </w:r>
      <w:r>
        <w:rPr>
          <w:sz w:val="24"/>
        </w:rPr>
        <w:t>2/60.</w:t>
      </w:r>
    </w:p>
    <w:p w:rsidR="00B0268C" w:rsidRDefault="00C408FB">
      <w:pPr>
        <w:pStyle w:val="ListParagraph"/>
        <w:numPr>
          <w:ilvl w:val="0"/>
          <w:numId w:val="24"/>
        </w:numPr>
        <w:tabs>
          <w:tab w:val="left" w:pos="359"/>
        </w:tabs>
        <w:ind w:left="114" w:right="114" w:firstLine="0"/>
        <w:rPr>
          <w:sz w:val="24"/>
        </w:rPr>
      </w:pPr>
      <w:r>
        <w:rPr>
          <w:sz w:val="24"/>
        </w:rPr>
        <w:t>SD-OCT central subfield retinal thickness (CST) &gt; 320µm (</w:t>
      </w:r>
      <w:proofErr w:type="spellStart"/>
      <w:r>
        <w:rPr>
          <w:sz w:val="24"/>
        </w:rPr>
        <w:t>Spectralis</w:t>
      </w:r>
      <w:proofErr w:type="spellEnd"/>
      <w:r>
        <w:rPr>
          <w:sz w:val="24"/>
        </w:rPr>
        <w:t>) predominantly due to MO secondary to CRVO in the study</w:t>
      </w:r>
      <w:r>
        <w:rPr>
          <w:spacing w:val="-9"/>
          <w:sz w:val="24"/>
        </w:rPr>
        <w:t xml:space="preserve"> </w:t>
      </w:r>
      <w:r>
        <w:rPr>
          <w:sz w:val="24"/>
        </w:rPr>
        <w:t>eye.</w:t>
      </w:r>
    </w:p>
    <w:p w:rsidR="00B0268C" w:rsidRDefault="00C408FB">
      <w:pPr>
        <w:pStyle w:val="ListParagraph"/>
        <w:numPr>
          <w:ilvl w:val="0"/>
          <w:numId w:val="24"/>
        </w:numPr>
        <w:tabs>
          <w:tab w:val="left" w:pos="374"/>
        </w:tabs>
        <w:ind w:left="114" w:right="116" w:firstLine="0"/>
        <w:rPr>
          <w:sz w:val="24"/>
        </w:rPr>
      </w:pPr>
      <w:r>
        <w:rPr>
          <w:sz w:val="24"/>
        </w:rPr>
        <w:t>Media clarity, pupillary dilatation and subject cooperation sufficient for adequate fundus imaging of the study</w:t>
      </w:r>
      <w:r>
        <w:rPr>
          <w:spacing w:val="-10"/>
          <w:sz w:val="24"/>
        </w:rPr>
        <w:t xml:space="preserve"> </w:t>
      </w:r>
      <w:r>
        <w:rPr>
          <w:sz w:val="24"/>
        </w:rPr>
        <w:t>eye.</w:t>
      </w:r>
    </w:p>
    <w:p w:rsidR="00B0268C" w:rsidRDefault="00C408FB">
      <w:pPr>
        <w:pStyle w:val="ListParagraph"/>
        <w:numPr>
          <w:ilvl w:val="0"/>
          <w:numId w:val="24"/>
        </w:numPr>
        <w:tabs>
          <w:tab w:val="left" w:pos="366"/>
        </w:tabs>
        <w:spacing w:before="1"/>
        <w:ind w:left="114" w:right="123" w:firstLine="0"/>
        <w:rPr>
          <w:sz w:val="24"/>
        </w:rPr>
      </w:pPr>
      <w:r>
        <w:rPr>
          <w:spacing w:val="-3"/>
          <w:sz w:val="24"/>
        </w:rPr>
        <w:t xml:space="preserve">In </w:t>
      </w:r>
      <w:r>
        <w:rPr>
          <w:sz w:val="24"/>
        </w:rPr>
        <w:t xml:space="preserve">cases of bilateral CRVO, if both eyes are potentially eligible, unless the patient prefers otherwise, the worst </w:t>
      </w:r>
      <w:proofErr w:type="gramStart"/>
      <w:r>
        <w:rPr>
          <w:sz w:val="24"/>
        </w:rPr>
        <w:t>seeing eye</w:t>
      </w:r>
      <w:proofErr w:type="gramEnd"/>
      <w:r>
        <w:rPr>
          <w:sz w:val="24"/>
        </w:rPr>
        <w:t xml:space="preserve"> will be</w:t>
      </w:r>
      <w:r>
        <w:rPr>
          <w:spacing w:val="-5"/>
          <w:sz w:val="24"/>
        </w:rPr>
        <w:t xml:space="preserve"> </w:t>
      </w:r>
      <w:r>
        <w:rPr>
          <w:sz w:val="24"/>
        </w:rPr>
        <w:t>recruited.</w:t>
      </w:r>
    </w:p>
    <w:p w:rsidR="00B0268C" w:rsidRDefault="00B0268C">
      <w:pPr>
        <w:pStyle w:val="BodyText"/>
      </w:pPr>
    </w:p>
    <w:p w:rsidR="00B0268C" w:rsidRDefault="00C408FB">
      <w:pPr>
        <w:pStyle w:val="BodyText"/>
        <w:ind w:left="114" w:right="111"/>
        <w:jc w:val="both"/>
      </w:pPr>
      <w:r>
        <w:rPr>
          <w:b/>
        </w:rPr>
        <w:t xml:space="preserve">Exclusion criteria </w:t>
      </w:r>
      <w:r>
        <w:t xml:space="preserve">(applied to the study eye only and to the </w:t>
      </w:r>
      <w:proofErr w:type="spellStart"/>
      <w:r>
        <w:t>non study</w:t>
      </w:r>
      <w:proofErr w:type="spellEnd"/>
      <w:r>
        <w:t xml:space="preserve"> eye only where specifically stated):</w:t>
      </w:r>
    </w:p>
    <w:p w:rsidR="00B0268C" w:rsidRDefault="00C408FB">
      <w:pPr>
        <w:pStyle w:val="ListParagraph"/>
        <w:numPr>
          <w:ilvl w:val="0"/>
          <w:numId w:val="23"/>
        </w:numPr>
        <w:tabs>
          <w:tab w:val="left" w:pos="366"/>
        </w:tabs>
        <w:spacing w:before="2" w:line="237" w:lineRule="auto"/>
        <w:ind w:right="118" w:firstLine="0"/>
        <w:jc w:val="both"/>
        <w:rPr>
          <w:sz w:val="24"/>
        </w:rPr>
      </w:pPr>
      <w:r>
        <w:rPr>
          <w:sz w:val="24"/>
        </w:rPr>
        <w:t>Macular oedema considered to be due to a cause other than CRVO (e.g. diabetic macular oedema, Irvine-</w:t>
      </w:r>
      <w:proofErr w:type="spellStart"/>
      <w:r>
        <w:rPr>
          <w:sz w:val="24"/>
        </w:rPr>
        <w:t>Gass</w:t>
      </w:r>
      <w:proofErr w:type="spellEnd"/>
      <w:r>
        <w:rPr>
          <w:sz w:val="24"/>
        </w:rPr>
        <w:t xml:space="preserve"> syndrome).</w:t>
      </w:r>
    </w:p>
    <w:p w:rsidR="00B0268C" w:rsidRDefault="00C408FB">
      <w:pPr>
        <w:pStyle w:val="ListParagraph"/>
        <w:numPr>
          <w:ilvl w:val="0"/>
          <w:numId w:val="23"/>
        </w:numPr>
        <w:tabs>
          <w:tab w:val="left" w:pos="357"/>
        </w:tabs>
        <w:spacing w:before="1"/>
        <w:ind w:right="121" w:firstLine="0"/>
        <w:jc w:val="both"/>
        <w:rPr>
          <w:sz w:val="24"/>
        </w:rPr>
      </w:pPr>
      <w:r>
        <w:rPr>
          <w:sz w:val="24"/>
        </w:rPr>
        <w:t xml:space="preserve">An ocular condition is present that, in the opinion of the investigator, might affect macular oedema or alter visual acuity during the course of the study (e.g. </w:t>
      </w:r>
      <w:proofErr w:type="spellStart"/>
      <w:r>
        <w:rPr>
          <w:sz w:val="24"/>
        </w:rPr>
        <w:t>vitreomacular</w:t>
      </w:r>
      <w:proofErr w:type="spellEnd"/>
      <w:r>
        <w:rPr>
          <w:spacing w:val="-16"/>
          <w:sz w:val="24"/>
        </w:rPr>
        <w:t xml:space="preserve"> </w:t>
      </w:r>
      <w:r>
        <w:rPr>
          <w:sz w:val="24"/>
        </w:rPr>
        <w:t>traction).</w:t>
      </w:r>
    </w:p>
    <w:p w:rsidR="00B0268C" w:rsidRDefault="00C408FB">
      <w:pPr>
        <w:pStyle w:val="ListParagraph"/>
        <w:numPr>
          <w:ilvl w:val="0"/>
          <w:numId w:val="23"/>
        </w:numPr>
        <w:tabs>
          <w:tab w:val="left" w:pos="376"/>
        </w:tabs>
        <w:ind w:right="114" w:firstLine="0"/>
        <w:jc w:val="both"/>
        <w:rPr>
          <w:sz w:val="24"/>
        </w:rPr>
      </w:pPr>
      <w:r>
        <w:rPr>
          <w:sz w:val="24"/>
        </w:rPr>
        <w:t>Any diabetic retinopathy or diabetic macular oedema at baseline clinical examination of the study</w:t>
      </w:r>
      <w:r>
        <w:rPr>
          <w:spacing w:val="-5"/>
          <w:sz w:val="24"/>
        </w:rPr>
        <w:t xml:space="preserve"> </w:t>
      </w:r>
      <w:r>
        <w:rPr>
          <w:sz w:val="24"/>
        </w:rPr>
        <w:t>eye.</w:t>
      </w:r>
    </w:p>
    <w:p w:rsidR="00B0268C" w:rsidRDefault="00C408FB">
      <w:pPr>
        <w:pStyle w:val="ListParagraph"/>
        <w:numPr>
          <w:ilvl w:val="0"/>
          <w:numId w:val="23"/>
        </w:numPr>
        <w:tabs>
          <w:tab w:val="left" w:pos="364"/>
        </w:tabs>
        <w:ind w:right="110" w:firstLine="0"/>
        <w:jc w:val="both"/>
        <w:rPr>
          <w:sz w:val="24"/>
        </w:rPr>
      </w:pPr>
      <w:r>
        <w:rPr>
          <w:sz w:val="24"/>
        </w:rPr>
        <w:t>Moderate or severe non proliferative diabetic retinopathy (NPDR) or quiescent, treated or active proliferative diabetic retinopathy (PDR) or macular oedema in the non-study eye. Note: Mild NPDR only is permissible in the non-study</w:t>
      </w:r>
      <w:r>
        <w:rPr>
          <w:spacing w:val="-13"/>
          <w:sz w:val="24"/>
        </w:rPr>
        <w:t xml:space="preserve"> </w:t>
      </w:r>
      <w:r>
        <w:rPr>
          <w:sz w:val="24"/>
        </w:rPr>
        <w:t>eye.</w:t>
      </w:r>
    </w:p>
    <w:p w:rsidR="00B0268C" w:rsidRDefault="00C408FB">
      <w:pPr>
        <w:pStyle w:val="ListParagraph"/>
        <w:numPr>
          <w:ilvl w:val="0"/>
          <w:numId w:val="23"/>
        </w:numPr>
        <w:tabs>
          <w:tab w:val="left" w:pos="410"/>
        </w:tabs>
        <w:spacing w:before="1"/>
        <w:ind w:right="110" w:firstLine="0"/>
        <w:jc w:val="both"/>
        <w:rPr>
          <w:sz w:val="24"/>
        </w:rPr>
      </w:pPr>
      <w:r>
        <w:rPr>
          <w:sz w:val="24"/>
        </w:rPr>
        <w:t xml:space="preserve">History of treatment for MO due to CRVO in the past 90 days with intravitreal or </w:t>
      </w:r>
      <w:proofErr w:type="spellStart"/>
      <w:r>
        <w:rPr>
          <w:sz w:val="24"/>
        </w:rPr>
        <w:t>peribulbar</w:t>
      </w:r>
      <w:proofErr w:type="spellEnd"/>
      <w:r>
        <w:rPr>
          <w:sz w:val="24"/>
        </w:rPr>
        <w:t xml:space="preserve"> corticosteroids or in the last 60 days with anti-VEGF drugs or &gt; 6 prior anti- VEGF treatments in the previous 12</w:t>
      </w:r>
      <w:r>
        <w:rPr>
          <w:spacing w:val="-2"/>
          <w:sz w:val="24"/>
        </w:rPr>
        <w:t xml:space="preserve"> </w:t>
      </w:r>
      <w:r>
        <w:rPr>
          <w:sz w:val="24"/>
        </w:rPr>
        <w:t>months.</w:t>
      </w:r>
    </w:p>
    <w:p w:rsidR="00B0268C" w:rsidRDefault="00C408FB">
      <w:pPr>
        <w:pStyle w:val="ListParagraph"/>
        <w:numPr>
          <w:ilvl w:val="0"/>
          <w:numId w:val="23"/>
        </w:numPr>
        <w:tabs>
          <w:tab w:val="left" w:pos="369"/>
        </w:tabs>
        <w:ind w:right="120" w:firstLine="0"/>
        <w:jc w:val="both"/>
        <w:rPr>
          <w:sz w:val="24"/>
        </w:rPr>
      </w:pPr>
      <w:r>
        <w:rPr>
          <w:sz w:val="24"/>
        </w:rPr>
        <w:t xml:space="preserve">Active iris or angle neovascularisation, </w:t>
      </w:r>
      <w:proofErr w:type="spellStart"/>
      <w:r>
        <w:rPr>
          <w:sz w:val="24"/>
        </w:rPr>
        <w:t>neovascular</w:t>
      </w:r>
      <w:proofErr w:type="spellEnd"/>
      <w:r>
        <w:rPr>
          <w:sz w:val="24"/>
        </w:rPr>
        <w:t xml:space="preserve"> glaucoma, untreated NVD, NVE and vitreous haemorrhage or treatment for these conditions in the last 1</w:t>
      </w:r>
      <w:r>
        <w:rPr>
          <w:spacing w:val="-3"/>
          <w:sz w:val="24"/>
        </w:rPr>
        <w:t xml:space="preserve"> </w:t>
      </w:r>
      <w:r>
        <w:rPr>
          <w:sz w:val="24"/>
        </w:rPr>
        <w:t>month.</w:t>
      </w:r>
    </w:p>
    <w:p w:rsidR="00B0268C" w:rsidRDefault="00C408FB">
      <w:pPr>
        <w:pStyle w:val="ListParagraph"/>
        <w:numPr>
          <w:ilvl w:val="0"/>
          <w:numId w:val="23"/>
        </w:numPr>
        <w:tabs>
          <w:tab w:val="left" w:pos="376"/>
        </w:tabs>
        <w:ind w:right="113" w:firstLine="0"/>
        <w:jc w:val="both"/>
        <w:rPr>
          <w:sz w:val="24"/>
        </w:rPr>
      </w:pPr>
      <w:r>
        <w:rPr>
          <w:sz w:val="24"/>
        </w:rPr>
        <w:t>Uncontrolled glaucoma [&gt;30mmHg], either untreated or on anti-glaucoma medication at screening.</w:t>
      </w:r>
    </w:p>
    <w:p w:rsidR="00B0268C" w:rsidRDefault="00C408FB">
      <w:pPr>
        <w:pStyle w:val="ListParagraph"/>
        <w:numPr>
          <w:ilvl w:val="0"/>
          <w:numId w:val="23"/>
        </w:numPr>
        <w:tabs>
          <w:tab w:val="left" w:pos="438"/>
        </w:tabs>
        <w:ind w:right="117" w:firstLine="0"/>
        <w:jc w:val="both"/>
        <w:rPr>
          <w:sz w:val="24"/>
        </w:rPr>
      </w:pPr>
      <w:r>
        <w:rPr>
          <w:sz w:val="24"/>
        </w:rPr>
        <w:t xml:space="preserve">Any active periocular or intraocular infection or inflammation (e.g. conjunctivitis, keratitis, </w:t>
      </w:r>
      <w:proofErr w:type="spellStart"/>
      <w:r>
        <w:rPr>
          <w:sz w:val="24"/>
        </w:rPr>
        <w:t>scleritis</w:t>
      </w:r>
      <w:proofErr w:type="spellEnd"/>
      <w:r>
        <w:rPr>
          <w:sz w:val="24"/>
        </w:rPr>
        <w:t xml:space="preserve">, uveitis, </w:t>
      </w:r>
      <w:proofErr w:type="spellStart"/>
      <w:r>
        <w:rPr>
          <w:sz w:val="24"/>
        </w:rPr>
        <w:t>endophthalmitis</w:t>
      </w:r>
      <w:proofErr w:type="spellEnd"/>
      <w:r>
        <w:rPr>
          <w:sz w:val="24"/>
        </w:rPr>
        <w:t>).</w:t>
      </w:r>
    </w:p>
    <w:p w:rsidR="00B0268C" w:rsidRDefault="00B0268C">
      <w:pPr>
        <w:pStyle w:val="BodyText"/>
      </w:pPr>
    </w:p>
    <w:p w:rsidR="00B0268C" w:rsidRDefault="00C408FB">
      <w:pPr>
        <w:pStyle w:val="BodyText"/>
        <w:ind w:left="114"/>
        <w:jc w:val="both"/>
      </w:pPr>
      <w:r>
        <w:rPr>
          <w:u w:val="single"/>
        </w:rPr>
        <w:t>Systemic exclusion criteria:</w:t>
      </w:r>
    </w:p>
    <w:p w:rsidR="00B0268C" w:rsidRDefault="00C408FB">
      <w:pPr>
        <w:pStyle w:val="ListParagraph"/>
        <w:numPr>
          <w:ilvl w:val="0"/>
          <w:numId w:val="23"/>
        </w:numPr>
        <w:tabs>
          <w:tab w:val="left" w:pos="359"/>
        </w:tabs>
        <w:ind w:right="118" w:firstLine="0"/>
        <w:jc w:val="both"/>
        <w:rPr>
          <w:sz w:val="24"/>
        </w:rPr>
      </w:pPr>
      <w:r>
        <w:rPr>
          <w:sz w:val="24"/>
        </w:rPr>
        <w:t>Uncontrolled blood pressure defined as a systolic value &gt; 170mmHg and diastolic value &gt; 110mmHg.</w:t>
      </w:r>
    </w:p>
    <w:p w:rsidR="00B0268C" w:rsidRDefault="00C408FB">
      <w:pPr>
        <w:pStyle w:val="ListParagraph"/>
        <w:numPr>
          <w:ilvl w:val="0"/>
          <w:numId w:val="23"/>
        </w:numPr>
        <w:tabs>
          <w:tab w:val="left" w:pos="479"/>
        </w:tabs>
        <w:spacing w:before="1"/>
        <w:ind w:right="121" w:firstLine="0"/>
        <w:jc w:val="both"/>
        <w:rPr>
          <w:sz w:val="24"/>
        </w:rPr>
      </w:pPr>
      <w:r>
        <w:rPr>
          <w:sz w:val="24"/>
        </w:rPr>
        <w:t>Myocardial infarction, stroke, transient ischaemic attack, acute congestive cardiac failure or any acute coronary event &lt; 3 months before</w:t>
      </w:r>
      <w:r>
        <w:rPr>
          <w:spacing w:val="-11"/>
          <w:sz w:val="24"/>
        </w:rPr>
        <w:t xml:space="preserve"> </w:t>
      </w:r>
      <w:r>
        <w:rPr>
          <w:sz w:val="24"/>
        </w:rPr>
        <w:t>randomisation.</w:t>
      </w:r>
    </w:p>
    <w:p w:rsidR="00B0268C" w:rsidRDefault="00C408FB">
      <w:pPr>
        <w:pStyle w:val="ListParagraph"/>
        <w:numPr>
          <w:ilvl w:val="0"/>
          <w:numId w:val="23"/>
        </w:numPr>
        <w:tabs>
          <w:tab w:val="left" w:pos="539"/>
        </w:tabs>
        <w:ind w:right="111" w:firstLine="0"/>
        <w:jc w:val="both"/>
        <w:rPr>
          <w:sz w:val="24"/>
        </w:rPr>
      </w:pPr>
      <w:r>
        <w:rPr>
          <w:sz w:val="24"/>
        </w:rPr>
        <w:t>Women of child bearing potential unless using effective methods of contraception throughout the study and for 6 months after their last injection for the trial. Effective contraception is defined as one of the</w:t>
      </w:r>
      <w:r>
        <w:rPr>
          <w:spacing w:val="-1"/>
          <w:sz w:val="24"/>
        </w:rPr>
        <w:t xml:space="preserve"> </w:t>
      </w:r>
      <w:r>
        <w:rPr>
          <w:sz w:val="24"/>
        </w:rPr>
        <w:t>following:</w:t>
      </w:r>
    </w:p>
    <w:p w:rsidR="00B0268C" w:rsidRDefault="00C408FB">
      <w:pPr>
        <w:pStyle w:val="ListParagraph"/>
        <w:numPr>
          <w:ilvl w:val="1"/>
          <w:numId w:val="23"/>
        </w:numPr>
        <w:tabs>
          <w:tab w:val="left" w:pos="1060"/>
        </w:tabs>
        <w:jc w:val="both"/>
        <w:rPr>
          <w:sz w:val="24"/>
        </w:rPr>
      </w:pPr>
      <w:r>
        <w:rPr>
          <w:sz w:val="24"/>
        </w:rPr>
        <w:t>Barrier method: condoms or occlusive cap with</w:t>
      </w:r>
      <w:r>
        <w:rPr>
          <w:spacing w:val="-1"/>
          <w:sz w:val="24"/>
        </w:rPr>
        <w:t xml:space="preserve"> </w:t>
      </w:r>
      <w:r>
        <w:rPr>
          <w:sz w:val="24"/>
        </w:rPr>
        <w:t>spermicides.</w:t>
      </w:r>
    </w:p>
    <w:p w:rsidR="00B0268C" w:rsidRDefault="00B0268C">
      <w:pPr>
        <w:jc w:val="both"/>
        <w:rPr>
          <w:sz w:val="24"/>
        </w:rPr>
        <w:sectPr w:rsidR="00B0268C">
          <w:pgSz w:w="11910" w:h="16840"/>
          <w:pgMar w:top="1040" w:right="1360" w:bottom="1660" w:left="1360" w:header="712" w:footer="1457" w:gutter="0"/>
          <w:cols w:space="720"/>
        </w:sectPr>
      </w:pPr>
    </w:p>
    <w:p w:rsidR="00B0268C" w:rsidRDefault="00C408FB">
      <w:pPr>
        <w:pStyle w:val="ListParagraph"/>
        <w:numPr>
          <w:ilvl w:val="1"/>
          <w:numId w:val="23"/>
        </w:numPr>
        <w:tabs>
          <w:tab w:val="left" w:pos="1108"/>
        </w:tabs>
        <w:spacing w:before="80"/>
        <w:ind w:left="834" w:right="110" w:firstLine="0"/>
        <w:jc w:val="both"/>
        <w:rPr>
          <w:sz w:val="24"/>
        </w:rPr>
      </w:pPr>
      <w:r>
        <w:rPr>
          <w:sz w:val="24"/>
        </w:rPr>
        <w:lastRenderedPageBreak/>
        <w:t xml:space="preserve">True abstinence: When it is in line with the preferred and usual lifestyle of the subject. Periodic abstinence (e.g. calendar, ovulation, </w:t>
      </w:r>
      <w:proofErr w:type="spellStart"/>
      <w:r>
        <w:rPr>
          <w:sz w:val="24"/>
        </w:rPr>
        <w:t>symptothermal</w:t>
      </w:r>
      <w:proofErr w:type="spellEnd"/>
      <w:r>
        <w:rPr>
          <w:sz w:val="24"/>
        </w:rPr>
        <w:t>, post-ovulation methods) and withdrawal are not acceptable methods of</w:t>
      </w:r>
      <w:r>
        <w:rPr>
          <w:spacing w:val="-4"/>
          <w:sz w:val="24"/>
        </w:rPr>
        <w:t xml:space="preserve"> </w:t>
      </w:r>
      <w:r>
        <w:rPr>
          <w:sz w:val="24"/>
        </w:rPr>
        <w:t>contraception.</w:t>
      </w:r>
    </w:p>
    <w:p w:rsidR="00B0268C" w:rsidRDefault="00C408FB">
      <w:pPr>
        <w:pStyle w:val="ListParagraph"/>
        <w:numPr>
          <w:ilvl w:val="1"/>
          <w:numId w:val="23"/>
        </w:numPr>
        <w:tabs>
          <w:tab w:val="left" w:pos="1060"/>
        </w:tabs>
        <w:jc w:val="both"/>
        <w:rPr>
          <w:sz w:val="24"/>
        </w:rPr>
      </w:pPr>
      <w:r>
        <w:rPr>
          <w:sz w:val="24"/>
        </w:rPr>
        <w:t>Have had tubal ligation or bilateral oophorectomy (with or without</w:t>
      </w:r>
      <w:r>
        <w:rPr>
          <w:spacing w:val="-13"/>
          <w:sz w:val="24"/>
        </w:rPr>
        <w:t xml:space="preserve"> </w:t>
      </w:r>
      <w:r>
        <w:rPr>
          <w:sz w:val="24"/>
        </w:rPr>
        <w:t>hysterectomy).</w:t>
      </w:r>
    </w:p>
    <w:p w:rsidR="00B0268C" w:rsidRDefault="00C408FB">
      <w:pPr>
        <w:pStyle w:val="ListParagraph"/>
        <w:numPr>
          <w:ilvl w:val="1"/>
          <w:numId w:val="23"/>
        </w:numPr>
        <w:tabs>
          <w:tab w:val="left" w:pos="1122"/>
        </w:tabs>
        <w:ind w:left="834" w:right="115" w:firstLine="0"/>
        <w:jc w:val="both"/>
        <w:rPr>
          <w:sz w:val="24"/>
        </w:rPr>
      </w:pPr>
      <w:r>
        <w:rPr>
          <w:sz w:val="24"/>
        </w:rPr>
        <w:t>Male partner sterilisation. The vasectomised male partner should be the only partner for the female</w:t>
      </w:r>
      <w:r>
        <w:rPr>
          <w:spacing w:val="-3"/>
          <w:sz w:val="24"/>
        </w:rPr>
        <w:t xml:space="preserve"> </w:t>
      </w:r>
      <w:r>
        <w:rPr>
          <w:sz w:val="24"/>
        </w:rPr>
        <w:t>participant.</w:t>
      </w:r>
    </w:p>
    <w:p w:rsidR="00B0268C" w:rsidRDefault="00C408FB">
      <w:pPr>
        <w:pStyle w:val="ListParagraph"/>
        <w:numPr>
          <w:ilvl w:val="1"/>
          <w:numId w:val="23"/>
        </w:numPr>
        <w:tabs>
          <w:tab w:val="left" w:pos="1077"/>
        </w:tabs>
        <w:ind w:left="834" w:right="118" w:firstLine="0"/>
        <w:jc w:val="both"/>
        <w:rPr>
          <w:sz w:val="24"/>
        </w:rPr>
      </w:pPr>
      <w:r>
        <w:rPr>
          <w:sz w:val="24"/>
        </w:rPr>
        <w:t>Use of established oral, injected or implanted hormonal methods of contraception and intrauterine</w:t>
      </w:r>
      <w:r>
        <w:rPr>
          <w:spacing w:val="-1"/>
          <w:sz w:val="24"/>
        </w:rPr>
        <w:t xml:space="preserve"> </w:t>
      </w:r>
      <w:r>
        <w:rPr>
          <w:sz w:val="24"/>
        </w:rPr>
        <w:t>device.</w:t>
      </w:r>
    </w:p>
    <w:p w:rsidR="00B0268C" w:rsidRDefault="00C408FB">
      <w:pPr>
        <w:pStyle w:val="ListParagraph"/>
        <w:numPr>
          <w:ilvl w:val="0"/>
          <w:numId w:val="23"/>
        </w:numPr>
        <w:tabs>
          <w:tab w:val="left" w:pos="475"/>
        </w:tabs>
        <w:ind w:left="474" w:hanging="361"/>
        <w:rPr>
          <w:sz w:val="24"/>
        </w:rPr>
      </w:pPr>
      <w:r>
        <w:rPr>
          <w:sz w:val="24"/>
        </w:rPr>
        <w:t>Pregnant or lactating</w:t>
      </w:r>
      <w:r>
        <w:rPr>
          <w:spacing w:val="-2"/>
          <w:sz w:val="24"/>
        </w:rPr>
        <w:t xml:space="preserve"> </w:t>
      </w:r>
      <w:r>
        <w:rPr>
          <w:sz w:val="24"/>
        </w:rPr>
        <w:t>women.</w:t>
      </w:r>
    </w:p>
    <w:p w:rsidR="00B0268C" w:rsidRDefault="00C408FB">
      <w:pPr>
        <w:pStyle w:val="ListParagraph"/>
        <w:numPr>
          <w:ilvl w:val="0"/>
          <w:numId w:val="23"/>
        </w:numPr>
        <w:tabs>
          <w:tab w:val="left" w:pos="508"/>
        </w:tabs>
        <w:ind w:right="122" w:firstLine="0"/>
        <w:rPr>
          <w:sz w:val="24"/>
        </w:rPr>
      </w:pPr>
      <w:r>
        <w:rPr>
          <w:sz w:val="24"/>
        </w:rPr>
        <w:t>Males who do not agree to an effective form of contraception for the duration of the study and for 6 months after their last injection for the</w:t>
      </w:r>
      <w:r>
        <w:rPr>
          <w:spacing w:val="-9"/>
          <w:sz w:val="24"/>
        </w:rPr>
        <w:t xml:space="preserve"> </w:t>
      </w:r>
      <w:r>
        <w:rPr>
          <w:sz w:val="24"/>
        </w:rPr>
        <w:t>trial.</w:t>
      </w:r>
    </w:p>
    <w:p w:rsidR="00B0268C" w:rsidRDefault="00C408FB">
      <w:pPr>
        <w:pStyle w:val="ListParagraph"/>
        <w:numPr>
          <w:ilvl w:val="0"/>
          <w:numId w:val="23"/>
        </w:numPr>
        <w:tabs>
          <w:tab w:val="left" w:pos="515"/>
        </w:tabs>
        <w:ind w:right="116" w:firstLine="0"/>
        <w:rPr>
          <w:sz w:val="24"/>
        </w:rPr>
      </w:pPr>
      <w:r>
        <w:rPr>
          <w:sz w:val="24"/>
        </w:rPr>
        <w:t xml:space="preserve">Hypersensitivity to the active ingredients </w:t>
      </w:r>
      <w:proofErr w:type="spellStart"/>
      <w:r>
        <w:rPr>
          <w:sz w:val="24"/>
        </w:rPr>
        <w:t>aflibercept</w:t>
      </w:r>
      <w:proofErr w:type="spellEnd"/>
      <w:r>
        <w:rPr>
          <w:sz w:val="24"/>
        </w:rPr>
        <w:t xml:space="preserve">, bevacizumab or </w:t>
      </w:r>
      <w:proofErr w:type="spellStart"/>
      <w:r>
        <w:rPr>
          <w:sz w:val="24"/>
        </w:rPr>
        <w:t>ranibizumab</w:t>
      </w:r>
      <w:proofErr w:type="spellEnd"/>
      <w:r>
        <w:rPr>
          <w:sz w:val="24"/>
        </w:rPr>
        <w:t xml:space="preserve"> or any of the excipients of these</w:t>
      </w:r>
      <w:r>
        <w:rPr>
          <w:spacing w:val="-9"/>
          <w:sz w:val="24"/>
        </w:rPr>
        <w:t xml:space="preserve"> </w:t>
      </w:r>
      <w:r>
        <w:rPr>
          <w:sz w:val="24"/>
        </w:rPr>
        <w:t>drugs.</w:t>
      </w:r>
    </w:p>
    <w:p w:rsidR="00B0268C" w:rsidRDefault="00C408FB">
      <w:pPr>
        <w:pStyle w:val="ListParagraph"/>
        <w:numPr>
          <w:ilvl w:val="0"/>
          <w:numId w:val="23"/>
        </w:numPr>
        <w:tabs>
          <w:tab w:val="left" w:pos="503"/>
        </w:tabs>
        <w:ind w:right="119" w:firstLine="0"/>
        <w:rPr>
          <w:sz w:val="24"/>
        </w:rPr>
      </w:pPr>
      <w:r>
        <w:rPr>
          <w:sz w:val="24"/>
        </w:rPr>
        <w:t>Hypersensitivity to Chinese Hamster Ovary (CHO) cell products or other recombinant human or humanised</w:t>
      </w:r>
      <w:r>
        <w:rPr>
          <w:spacing w:val="-2"/>
          <w:sz w:val="24"/>
        </w:rPr>
        <w:t xml:space="preserve"> </w:t>
      </w:r>
      <w:r>
        <w:rPr>
          <w:sz w:val="24"/>
        </w:rPr>
        <w:t>antibodies.</w:t>
      </w:r>
    </w:p>
    <w:p w:rsidR="00B0268C" w:rsidRDefault="00C408FB">
      <w:pPr>
        <w:pStyle w:val="ListParagraph"/>
        <w:numPr>
          <w:ilvl w:val="0"/>
          <w:numId w:val="23"/>
        </w:numPr>
        <w:tabs>
          <w:tab w:val="left" w:pos="496"/>
        </w:tabs>
        <w:ind w:right="117" w:firstLine="0"/>
        <w:rPr>
          <w:sz w:val="24"/>
        </w:rPr>
      </w:pPr>
      <w:r>
        <w:rPr>
          <w:sz w:val="24"/>
        </w:rPr>
        <w:t>A condition that, in the opinion of the investigator, would preclude participation in the study.</w:t>
      </w:r>
    </w:p>
    <w:p w:rsidR="00B0268C" w:rsidRDefault="00C408FB">
      <w:pPr>
        <w:pStyle w:val="ListParagraph"/>
        <w:numPr>
          <w:ilvl w:val="0"/>
          <w:numId w:val="23"/>
        </w:numPr>
        <w:tabs>
          <w:tab w:val="left" w:pos="513"/>
        </w:tabs>
        <w:spacing w:before="1"/>
        <w:ind w:right="120" w:firstLine="0"/>
        <w:rPr>
          <w:sz w:val="24"/>
        </w:rPr>
      </w:pPr>
      <w:r>
        <w:rPr>
          <w:sz w:val="24"/>
        </w:rPr>
        <w:t>Participation in an investigational trial involving an investigational medicinal product within 90 days of randomisation.</w:t>
      </w:r>
    </w:p>
    <w:p w:rsidR="00B0268C" w:rsidRDefault="00B0268C">
      <w:pPr>
        <w:pStyle w:val="BodyText"/>
        <w:rPr>
          <w:sz w:val="26"/>
        </w:rPr>
      </w:pPr>
    </w:p>
    <w:p w:rsidR="00B0268C" w:rsidRDefault="00B0268C">
      <w:pPr>
        <w:pStyle w:val="BodyText"/>
        <w:spacing w:before="4"/>
        <w:rPr>
          <w:sz w:val="22"/>
        </w:rPr>
      </w:pPr>
    </w:p>
    <w:p w:rsidR="00B0268C" w:rsidRDefault="00C408FB">
      <w:pPr>
        <w:pStyle w:val="Heading1"/>
        <w:numPr>
          <w:ilvl w:val="1"/>
          <w:numId w:val="22"/>
        </w:numPr>
        <w:tabs>
          <w:tab w:val="left" w:pos="775"/>
          <w:tab w:val="left" w:pos="776"/>
          <w:tab w:val="left" w:pos="2540"/>
          <w:tab w:val="left" w:pos="3978"/>
          <w:tab w:val="left" w:pos="5415"/>
          <w:tab w:val="left" w:pos="6852"/>
          <w:tab w:val="left" w:pos="7622"/>
        </w:tabs>
        <w:spacing w:before="1"/>
        <w:ind w:right="113" w:firstLine="0"/>
      </w:pPr>
      <w:bookmarkStart w:id="15" w:name="_bookmark15"/>
      <w:bookmarkEnd w:id="15"/>
      <w:r>
        <w:t>Objectives,</w:t>
      </w:r>
      <w:r>
        <w:tab/>
        <w:t>principal</w:t>
      </w:r>
      <w:r>
        <w:tab/>
        <w:t>research</w:t>
      </w:r>
      <w:r>
        <w:tab/>
        <w:t>question</w:t>
      </w:r>
      <w:r>
        <w:tab/>
        <w:t>and</w:t>
      </w:r>
      <w:r>
        <w:tab/>
      </w:r>
      <w:r>
        <w:rPr>
          <w:spacing w:val="-3"/>
        </w:rPr>
        <w:t xml:space="preserve">associated </w:t>
      </w:r>
      <w:r>
        <w:t>hypotheses</w:t>
      </w:r>
    </w:p>
    <w:p w:rsidR="00B0268C" w:rsidRDefault="00C408FB">
      <w:pPr>
        <w:pStyle w:val="Heading2"/>
        <w:numPr>
          <w:ilvl w:val="1"/>
          <w:numId w:val="22"/>
        </w:numPr>
        <w:tabs>
          <w:tab w:val="left" w:pos="518"/>
        </w:tabs>
        <w:spacing w:before="264"/>
        <w:ind w:left="517" w:hanging="404"/>
      </w:pPr>
      <w:bookmarkStart w:id="16" w:name="_bookmark16"/>
      <w:bookmarkEnd w:id="16"/>
      <w:r>
        <w:t>Principal Trial objective</w:t>
      </w:r>
    </w:p>
    <w:p w:rsidR="00B0268C" w:rsidRDefault="00B0268C">
      <w:pPr>
        <w:pStyle w:val="BodyText"/>
        <w:spacing w:before="8"/>
        <w:rPr>
          <w:rFonts w:ascii="Arial"/>
          <w:b/>
          <w:sz w:val="22"/>
        </w:rPr>
      </w:pPr>
    </w:p>
    <w:p w:rsidR="00B0268C" w:rsidRDefault="00C408FB">
      <w:pPr>
        <w:pStyle w:val="BodyText"/>
        <w:ind w:left="114" w:right="113"/>
        <w:jc w:val="both"/>
      </w:pPr>
      <w:r>
        <w:t xml:space="preserve">The objective of the LEAVO trial is to determine if Bevacizumab or </w:t>
      </w:r>
      <w:proofErr w:type="spellStart"/>
      <w:r>
        <w:t>Afilbercept</w:t>
      </w:r>
      <w:proofErr w:type="spellEnd"/>
      <w:r>
        <w:t xml:space="preserve"> are as effective as Ranibizumab in reducing visual loss from MO due to CRVO, whether they have an equivalent side effect profile and whether either could be considered as a recommended NHS treatment based on non-inferior clinical effectiveness and superior cost-effectiveness.</w:t>
      </w:r>
    </w:p>
    <w:p w:rsidR="00B0268C" w:rsidRDefault="00B0268C">
      <w:pPr>
        <w:pStyle w:val="BodyText"/>
        <w:spacing w:before="4"/>
        <w:rPr>
          <w:sz w:val="20"/>
        </w:rPr>
      </w:pPr>
    </w:p>
    <w:p w:rsidR="00B0268C" w:rsidRDefault="00C408FB">
      <w:pPr>
        <w:pStyle w:val="Heading2"/>
        <w:numPr>
          <w:ilvl w:val="1"/>
          <w:numId w:val="22"/>
        </w:numPr>
        <w:tabs>
          <w:tab w:val="left" w:pos="517"/>
        </w:tabs>
        <w:ind w:left="516" w:hanging="403"/>
      </w:pPr>
      <w:bookmarkStart w:id="17" w:name="_bookmark17"/>
      <w:bookmarkEnd w:id="17"/>
      <w:r>
        <w:t>Principal Research</w:t>
      </w:r>
      <w:r>
        <w:rPr>
          <w:spacing w:val="-1"/>
        </w:rPr>
        <w:t xml:space="preserve"> </w:t>
      </w:r>
      <w:r>
        <w:t>Question</w:t>
      </w:r>
    </w:p>
    <w:p w:rsidR="00B0268C" w:rsidRDefault="00B0268C">
      <w:pPr>
        <w:pStyle w:val="BodyText"/>
        <w:spacing w:before="7"/>
        <w:rPr>
          <w:rFonts w:ascii="Arial"/>
          <w:b/>
          <w:sz w:val="22"/>
        </w:rPr>
      </w:pPr>
    </w:p>
    <w:p w:rsidR="00B0268C" w:rsidRDefault="00C408FB">
      <w:pPr>
        <w:pStyle w:val="BodyText"/>
        <w:spacing w:before="1"/>
        <w:ind w:left="114" w:right="110"/>
        <w:jc w:val="both"/>
      </w:pPr>
      <w:r>
        <w:t>The principle research question is as follows: Is visual acuity following Aflibercept or Bevacizumab non-inferior to Ranibizumab in eyes with MO due to CRVO at 100 weeks?</w:t>
      </w:r>
    </w:p>
    <w:p w:rsidR="00B0268C" w:rsidRDefault="00B0268C">
      <w:pPr>
        <w:pStyle w:val="BodyText"/>
        <w:spacing w:before="3"/>
      </w:pPr>
    </w:p>
    <w:p w:rsidR="00B0268C" w:rsidRDefault="00C408FB">
      <w:pPr>
        <w:pStyle w:val="Heading2"/>
        <w:numPr>
          <w:ilvl w:val="1"/>
          <w:numId w:val="22"/>
        </w:numPr>
        <w:tabs>
          <w:tab w:val="left" w:pos="517"/>
        </w:tabs>
        <w:ind w:left="516" w:hanging="403"/>
      </w:pPr>
      <w:bookmarkStart w:id="18" w:name="_bookmark18"/>
      <w:bookmarkEnd w:id="18"/>
      <w:r>
        <w:t>Hypotheses</w:t>
      </w:r>
    </w:p>
    <w:p w:rsidR="00B0268C" w:rsidRDefault="00B0268C">
      <w:pPr>
        <w:pStyle w:val="BodyText"/>
        <w:spacing w:before="8"/>
        <w:rPr>
          <w:rFonts w:ascii="Arial"/>
          <w:b/>
          <w:sz w:val="23"/>
        </w:rPr>
      </w:pPr>
    </w:p>
    <w:p w:rsidR="00B0268C" w:rsidRDefault="00C408FB">
      <w:pPr>
        <w:pStyle w:val="BodyText"/>
        <w:ind w:left="114"/>
        <w:jc w:val="both"/>
      </w:pPr>
      <w:r>
        <w:t>The hypotheses refer to the populations of relevant patients rather than study subjects.</w:t>
      </w:r>
    </w:p>
    <w:p w:rsidR="00B0268C" w:rsidRDefault="00B0268C">
      <w:pPr>
        <w:pStyle w:val="BodyText"/>
      </w:pPr>
    </w:p>
    <w:p w:rsidR="00B0268C" w:rsidRDefault="00C408FB">
      <w:pPr>
        <w:pStyle w:val="BodyText"/>
        <w:ind w:left="114" w:right="110"/>
        <w:jc w:val="both"/>
      </w:pPr>
      <w:r>
        <w:t xml:space="preserve">The </w:t>
      </w:r>
      <w:r>
        <w:rPr>
          <w:i/>
        </w:rPr>
        <w:t>Working hypothesis</w:t>
      </w:r>
      <w:r>
        <w:t xml:space="preserve">: The so-called “working hypothesis‟ is the hypothesis which motivates the trial, which the trial results may or may not support. </w:t>
      </w:r>
      <w:r>
        <w:rPr>
          <w:spacing w:val="-3"/>
        </w:rPr>
        <w:t xml:space="preserve">It </w:t>
      </w:r>
      <w:r>
        <w:t xml:space="preserve">is that the change </w:t>
      </w:r>
      <w:proofErr w:type="gramStart"/>
      <w:r>
        <w:t>in  best</w:t>
      </w:r>
      <w:proofErr w:type="gramEnd"/>
      <w:r>
        <w:t xml:space="preserve"> corrected visual acuity is non-inferior in patients treated with either Aflibercept or Bevacizumab compared to patients treated with</w:t>
      </w:r>
      <w:r>
        <w:rPr>
          <w:spacing w:val="1"/>
        </w:rPr>
        <w:t xml:space="preserve"> </w:t>
      </w:r>
      <w:r>
        <w:t>Ranibizumab.</w:t>
      </w:r>
    </w:p>
    <w:p w:rsidR="00B0268C" w:rsidRDefault="00B0268C">
      <w:pPr>
        <w:pStyle w:val="BodyText"/>
        <w:spacing w:before="1"/>
      </w:pPr>
    </w:p>
    <w:p w:rsidR="00B0268C" w:rsidRDefault="00C408FB">
      <w:pPr>
        <w:pStyle w:val="BodyText"/>
        <w:ind w:left="114" w:right="109"/>
        <w:jc w:val="both"/>
      </w:pPr>
      <w:r>
        <w:t xml:space="preserve">The Statistical </w:t>
      </w:r>
      <w:r>
        <w:rPr>
          <w:i/>
        </w:rPr>
        <w:t xml:space="preserve">Null Hypothesis </w:t>
      </w:r>
      <w:r>
        <w:t>1: Bevacizumab is inferior to Ranibizumab in eyes with MO due to CRVO at 100</w:t>
      </w:r>
      <w:r>
        <w:rPr>
          <w:spacing w:val="-3"/>
        </w:rPr>
        <w:t xml:space="preserve"> </w:t>
      </w:r>
      <w:r>
        <w:t>weeks.</w:t>
      </w:r>
    </w:p>
    <w:p w:rsidR="00B0268C" w:rsidRDefault="00C408FB">
      <w:pPr>
        <w:pStyle w:val="BodyText"/>
        <w:ind w:left="114" w:right="111"/>
        <w:jc w:val="both"/>
      </w:pPr>
      <w:r>
        <w:t xml:space="preserve">The Statistical </w:t>
      </w:r>
      <w:r>
        <w:rPr>
          <w:i/>
        </w:rPr>
        <w:t xml:space="preserve">Null Hypothesis </w:t>
      </w:r>
      <w:r>
        <w:t>2: Aflibercept is inferior to Ranibizumab in eyes with MO due to CRVO at 100</w:t>
      </w:r>
      <w:r>
        <w:rPr>
          <w:spacing w:val="-3"/>
        </w:rPr>
        <w:t xml:space="preserve"> </w:t>
      </w:r>
      <w:r>
        <w:t>weeks.</w:t>
      </w:r>
    </w:p>
    <w:p w:rsidR="00B0268C" w:rsidRDefault="00B0268C">
      <w:pPr>
        <w:jc w:val="both"/>
        <w:sectPr w:rsidR="00B0268C">
          <w:pgSz w:w="11910" w:h="16840"/>
          <w:pgMar w:top="1040" w:right="1360" w:bottom="1660" w:left="1360" w:header="712" w:footer="1457" w:gutter="0"/>
          <w:cols w:space="720"/>
        </w:sectPr>
      </w:pPr>
    </w:p>
    <w:p w:rsidR="00B0268C" w:rsidRDefault="00C408FB">
      <w:pPr>
        <w:pStyle w:val="BodyText"/>
        <w:spacing w:before="80"/>
        <w:ind w:left="114"/>
      </w:pPr>
      <w:r>
        <w:lastRenderedPageBreak/>
        <w:t xml:space="preserve">Statistical </w:t>
      </w:r>
      <w:r>
        <w:rPr>
          <w:i/>
        </w:rPr>
        <w:t xml:space="preserve">Alternative hypothesis </w:t>
      </w:r>
      <w:r>
        <w:t xml:space="preserve">1: Bevacizumab is </w:t>
      </w:r>
      <w:proofErr w:type="spellStart"/>
      <w:r>
        <w:t>noninferior</w:t>
      </w:r>
      <w:proofErr w:type="spellEnd"/>
      <w:r>
        <w:t xml:space="preserve"> to Ranibizumab in eyes with MO due to CRVO at 100</w:t>
      </w:r>
      <w:r>
        <w:rPr>
          <w:spacing w:val="-3"/>
        </w:rPr>
        <w:t xml:space="preserve"> </w:t>
      </w:r>
      <w:r>
        <w:t>weeks.</w:t>
      </w:r>
    </w:p>
    <w:p w:rsidR="00B0268C" w:rsidRDefault="00C408FB">
      <w:pPr>
        <w:pStyle w:val="BodyText"/>
        <w:ind w:left="114"/>
      </w:pPr>
      <w:r>
        <w:t xml:space="preserve">Statistical </w:t>
      </w:r>
      <w:r>
        <w:rPr>
          <w:i/>
        </w:rPr>
        <w:t xml:space="preserve">Alternative hypothesis </w:t>
      </w:r>
      <w:r>
        <w:t xml:space="preserve">2: Aflibercept is </w:t>
      </w:r>
      <w:proofErr w:type="spellStart"/>
      <w:r>
        <w:t>noninferior</w:t>
      </w:r>
      <w:proofErr w:type="spellEnd"/>
      <w:r>
        <w:t xml:space="preserve"> to Ranibizumab in eyes with MO due to CRVO at 100</w:t>
      </w:r>
      <w:r>
        <w:rPr>
          <w:spacing w:val="-3"/>
        </w:rPr>
        <w:t xml:space="preserve"> </w:t>
      </w:r>
      <w:r>
        <w:t>weeks.</w:t>
      </w:r>
    </w:p>
    <w:p w:rsidR="00B0268C" w:rsidRDefault="00B0268C">
      <w:pPr>
        <w:pStyle w:val="BodyText"/>
        <w:spacing w:before="4"/>
      </w:pPr>
    </w:p>
    <w:p w:rsidR="00B0268C" w:rsidRDefault="00C408FB">
      <w:pPr>
        <w:pStyle w:val="Heading2"/>
        <w:numPr>
          <w:ilvl w:val="1"/>
          <w:numId w:val="22"/>
        </w:numPr>
        <w:tabs>
          <w:tab w:val="left" w:pos="542"/>
        </w:tabs>
        <w:ind w:left="541" w:hanging="428"/>
      </w:pPr>
      <w:bookmarkStart w:id="19" w:name="_bookmark19"/>
      <w:bookmarkEnd w:id="19"/>
      <w:r>
        <w:t>Study</w:t>
      </w:r>
      <w:r>
        <w:rPr>
          <w:spacing w:val="-8"/>
        </w:rPr>
        <w:t xml:space="preserve"> </w:t>
      </w:r>
      <w:r>
        <w:t>objectives</w:t>
      </w:r>
    </w:p>
    <w:p w:rsidR="00B0268C" w:rsidRDefault="00C408FB">
      <w:pPr>
        <w:pStyle w:val="ListParagraph"/>
        <w:numPr>
          <w:ilvl w:val="2"/>
          <w:numId w:val="22"/>
        </w:numPr>
        <w:tabs>
          <w:tab w:val="left" w:pos="833"/>
          <w:tab w:val="left" w:pos="834"/>
        </w:tabs>
        <w:spacing w:before="201"/>
        <w:rPr>
          <w:rFonts w:ascii="Arial"/>
          <w:b/>
          <w:sz w:val="20"/>
        </w:rPr>
      </w:pPr>
      <w:bookmarkStart w:id="20" w:name="_bookmark20"/>
      <w:bookmarkEnd w:id="20"/>
      <w:r>
        <w:rPr>
          <w:rFonts w:ascii="Arial"/>
          <w:b/>
          <w:sz w:val="20"/>
        </w:rPr>
        <w:t>Primary</w:t>
      </w:r>
      <w:r>
        <w:rPr>
          <w:rFonts w:ascii="Arial"/>
          <w:b/>
          <w:spacing w:val="-2"/>
          <w:sz w:val="20"/>
        </w:rPr>
        <w:t xml:space="preserve"> </w:t>
      </w:r>
      <w:r>
        <w:rPr>
          <w:rFonts w:ascii="Arial"/>
          <w:b/>
          <w:sz w:val="20"/>
        </w:rPr>
        <w:t>objective:</w:t>
      </w:r>
    </w:p>
    <w:p w:rsidR="00B0268C" w:rsidRDefault="00B0268C">
      <w:pPr>
        <w:pStyle w:val="BodyText"/>
        <w:spacing w:before="8"/>
        <w:rPr>
          <w:rFonts w:ascii="Arial"/>
          <w:b/>
          <w:sz w:val="23"/>
        </w:rPr>
      </w:pPr>
    </w:p>
    <w:p w:rsidR="00B0268C" w:rsidRDefault="00C408FB">
      <w:pPr>
        <w:pStyle w:val="ListParagraph"/>
        <w:numPr>
          <w:ilvl w:val="0"/>
          <w:numId w:val="21"/>
        </w:numPr>
        <w:tabs>
          <w:tab w:val="left" w:pos="475"/>
        </w:tabs>
        <w:spacing w:before="1"/>
        <w:ind w:right="115"/>
        <w:jc w:val="both"/>
        <w:rPr>
          <w:sz w:val="24"/>
        </w:rPr>
      </w:pPr>
      <w:r>
        <w:rPr>
          <w:sz w:val="24"/>
        </w:rPr>
        <w:t xml:space="preserve">To determine whether bevacizumab is non-inferior to </w:t>
      </w:r>
      <w:proofErr w:type="spellStart"/>
      <w:r>
        <w:rPr>
          <w:sz w:val="24"/>
        </w:rPr>
        <w:t>ranibizumab</w:t>
      </w:r>
      <w:proofErr w:type="spellEnd"/>
      <w:r>
        <w:rPr>
          <w:sz w:val="24"/>
        </w:rPr>
        <w:t xml:space="preserve"> in treating visual loss due to MO secondary to central retinal vein occlusion at 100</w:t>
      </w:r>
      <w:r>
        <w:rPr>
          <w:spacing w:val="-6"/>
          <w:sz w:val="24"/>
        </w:rPr>
        <w:t xml:space="preserve"> </w:t>
      </w:r>
      <w:r>
        <w:rPr>
          <w:sz w:val="24"/>
        </w:rPr>
        <w:t>weeks</w:t>
      </w:r>
    </w:p>
    <w:p w:rsidR="00B0268C" w:rsidRDefault="00C408FB">
      <w:pPr>
        <w:pStyle w:val="ListParagraph"/>
        <w:numPr>
          <w:ilvl w:val="0"/>
          <w:numId w:val="21"/>
        </w:numPr>
        <w:tabs>
          <w:tab w:val="left" w:pos="475"/>
        </w:tabs>
        <w:ind w:right="116"/>
        <w:jc w:val="both"/>
        <w:rPr>
          <w:sz w:val="24"/>
        </w:rPr>
      </w:pPr>
      <w:r>
        <w:rPr>
          <w:sz w:val="24"/>
        </w:rPr>
        <w:t xml:space="preserve">To determine whether </w:t>
      </w:r>
      <w:proofErr w:type="spellStart"/>
      <w:r>
        <w:rPr>
          <w:sz w:val="24"/>
        </w:rPr>
        <w:t>aflibercept</w:t>
      </w:r>
      <w:proofErr w:type="spellEnd"/>
      <w:r>
        <w:rPr>
          <w:sz w:val="24"/>
        </w:rPr>
        <w:t xml:space="preserve"> is non-inferior to </w:t>
      </w:r>
      <w:proofErr w:type="spellStart"/>
      <w:r>
        <w:rPr>
          <w:sz w:val="24"/>
        </w:rPr>
        <w:t>ranibizumab</w:t>
      </w:r>
      <w:proofErr w:type="spellEnd"/>
      <w:r>
        <w:rPr>
          <w:sz w:val="24"/>
        </w:rPr>
        <w:t xml:space="preserve"> in treating visual loss due to MO secondary to central retinal vein occlusion at 100</w:t>
      </w:r>
      <w:r>
        <w:rPr>
          <w:spacing w:val="-6"/>
          <w:sz w:val="24"/>
        </w:rPr>
        <w:t xml:space="preserve"> </w:t>
      </w:r>
      <w:r>
        <w:rPr>
          <w:sz w:val="24"/>
        </w:rPr>
        <w:t>weeks.</w:t>
      </w:r>
    </w:p>
    <w:p w:rsidR="00B0268C" w:rsidRDefault="00C408FB">
      <w:pPr>
        <w:pStyle w:val="ListParagraph"/>
        <w:numPr>
          <w:ilvl w:val="2"/>
          <w:numId w:val="22"/>
        </w:numPr>
        <w:tabs>
          <w:tab w:val="left" w:pos="833"/>
          <w:tab w:val="left" w:pos="834"/>
        </w:tabs>
        <w:spacing w:before="204"/>
        <w:rPr>
          <w:rFonts w:ascii="Arial"/>
          <w:b/>
          <w:sz w:val="20"/>
        </w:rPr>
      </w:pPr>
      <w:bookmarkStart w:id="21" w:name="_bookmark21"/>
      <w:bookmarkEnd w:id="21"/>
      <w:r>
        <w:rPr>
          <w:rFonts w:ascii="Arial"/>
          <w:b/>
          <w:sz w:val="20"/>
        </w:rPr>
        <w:t>Secondary</w:t>
      </w:r>
      <w:r>
        <w:rPr>
          <w:rFonts w:ascii="Arial"/>
          <w:b/>
          <w:spacing w:val="-4"/>
          <w:sz w:val="20"/>
        </w:rPr>
        <w:t xml:space="preserve"> </w:t>
      </w:r>
      <w:r>
        <w:rPr>
          <w:rFonts w:ascii="Arial"/>
          <w:b/>
          <w:sz w:val="20"/>
        </w:rPr>
        <w:t>Objectives</w:t>
      </w:r>
    </w:p>
    <w:p w:rsidR="00B0268C" w:rsidRDefault="00B0268C">
      <w:pPr>
        <w:pStyle w:val="BodyText"/>
        <w:spacing w:before="7"/>
        <w:rPr>
          <w:rFonts w:ascii="Arial"/>
          <w:b/>
          <w:sz w:val="23"/>
        </w:rPr>
      </w:pPr>
    </w:p>
    <w:p w:rsidR="00B0268C" w:rsidRDefault="00C408FB">
      <w:pPr>
        <w:pStyle w:val="ListParagraph"/>
        <w:numPr>
          <w:ilvl w:val="0"/>
          <w:numId w:val="20"/>
        </w:numPr>
        <w:tabs>
          <w:tab w:val="left" w:pos="542"/>
        </w:tabs>
        <w:ind w:right="116"/>
        <w:jc w:val="both"/>
        <w:rPr>
          <w:sz w:val="24"/>
        </w:rPr>
      </w:pPr>
      <w:r>
        <w:rPr>
          <w:sz w:val="24"/>
        </w:rPr>
        <w:t>To determine the difference between arms in mean change in best corrected visual acuity at 52</w:t>
      </w:r>
      <w:r>
        <w:rPr>
          <w:spacing w:val="-3"/>
          <w:sz w:val="24"/>
        </w:rPr>
        <w:t xml:space="preserve"> </w:t>
      </w:r>
      <w:r>
        <w:rPr>
          <w:sz w:val="24"/>
        </w:rPr>
        <w:t>weeks.</w:t>
      </w:r>
    </w:p>
    <w:p w:rsidR="00B0268C" w:rsidRDefault="00C408FB">
      <w:pPr>
        <w:pStyle w:val="ListParagraph"/>
        <w:numPr>
          <w:ilvl w:val="0"/>
          <w:numId w:val="20"/>
        </w:numPr>
        <w:tabs>
          <w:tab w:val="left" w:pos="542"/>
        </w:tabs>
        <w:ind w:right="117"/>
        <w:jc w:val="both"/>
        <w:rPr>
          <w:sz w:val="24"/>
        </w:rPr>
      </w:pPr>
      <w:r>
        <w:rPr>
          <w:sz w:val="24"/>
        </w:rPr>
        <w:t>To determine the difference between arms in the proportion of participants with ≥ 15 ETDRS letter improvement (appreciable visual gain), ≥ 10 letter improvement, &lt;15 letter loss and ≥ 30 ETDRS letter loss (severe visual loss) at 52 and 100</w:t>
      </w:r>
      <w:r>
        <w:rPr>
          <w:spacing w:val="-9"/>
          <w:sz w:val="24"/>
        </w:rPr>
        <w:t xml:space="preserve"> </w:t>
      </w:r>
      <w:r>
        <w:rPr>
          <w:sz w:val="24"/>
        </w:rPr>
        <w:t>weeks.</w:t>
      </w:r>
    </w:p>
    <w:p w:rsidR="00B0268C" w:rsidRDefault="00C408FB">
      <w:pPr>
        <w:pStyle w:val="ListParagraph"/>
        <w:numPr>
          <w:ilvl w:val="0"/>
          <w:numId w:val="20"/>
        </w:numPr>
        <w:tabs>
          <w:tab w:val="left" w:pos="542"/>
        </w:tabs>
        <w:spacing w:before="1"/>
        <w:ind w:right="109"/>
        <w:jc w:val="both"/>
        <w:rPr>
          <w:sz w:val="24"/>
        </w:rPr>
      </w:pPr>
      <w:r>
        <w:rPr>
          <w:sz w:val="24"/>
        </w:rPr>
        <w:t>To determine the difference between arms in the proportion of participants with ≥73 ETDRS letters or better than 6/12 Snellen equivalent (</w:t>
      </w:r>
      <w:proofErr w:type="spellStart"/>
      <w:r>
        <w:rPr>
          <w:sz w:val="24"/>
        </w:rPr>
        <w:t>ie</w:t>
      </w:r>
      <w:proofErr w:type="spellEnd"/>
      <w:r>
        <w:rPr>
          <w:sz w:val="24"/>
        </w:rPr>
        <w:t xml:space="preserve"> approximate driving visual acuity), ≤58 ETDRS letters (≤6/24) and ≤ 19 letters (≤3/60</w:t>
      </w:r>
      <w:proofErr w:type="gramStart"/>
      <w:r>
        <w:rPr>
          <w:sz w:val="24"/>
        </w:rPr>
        <w:t>)(</w:t>
      </w:r>
      <w:proofErr w:type="gramEnd"/>
      <w:r>
        <w:rPr>
          <w:sz w:val="24"/>
        </w:rPr>
        <w:t>CVI partial and severe visual impairment) at 52 and 100</w:t>
      </w:r>
      <w:r>
        <w:rPr>
          <w:spacing w:val="-1"/>
          <w:sz w:val="24"/>
        </w:rPr>
        <w:t xml:space="preserve"> </w:t>
      </w:r>
      <w:r>
        <w:rPr>
          <w:sz w:val="24"/>
        </w:rPr>
        <w:t>weeks.</w:t>
      </w:r>
    </w:p>
    <w:p w:rsidR="00B0268C" w:rsidRDefault="00C408FB">
      <w:pPr>
        <w:pStyle w:val="ListParagraph"/>
        <w:numPr>
          <w:ilvl w:val="0"/>
          <w:numId w:val="20"/>
        </w:numPr>
        <w:tabs>
          <w:tab w:val="left" w:pos="542"/>
        </w:tabs>
        <w:ind w:right="117"/>
        <w:jc w:val="both"/>
        <w:rPr>
          <w:sz w:val="24"/>
        </w:rPr>
      </w:pPr>
      <w:r>
        <w:rPr>
          <w:sz w:val="24"/>
        </w:rPr>
        <w:t>To determine the difference between arms in the mean change in OCT CST and macular volume at 52 and 100</w:t>
      </w:r>
      <w:r>
        <w:rPr>
          <w:spacing w:val="-2"/>
          <w:sz w:val="24"/>
        </w:rPr>
        <w:t xml:space="preserve"> </w:t>
      </w:r>
      <w:r>
        <w:rPr>
          <w:sz w:val="24"/>
        </w:rPr>
        <w:t>weeks.</w:t>
      </w:r>
    </w:p>
    <w:p w:rsidR="00B0268C" w:rsidRDefault="00C408FB">
      <w:pPr>
        <w:pStyle w:val="ListParagraph"/>
        <w:numPr>
          <w:ilvl w:val="0"/>
          <w:numId w:val="20"/>
        </w:numPr>
        <w:tabs>
          <w:tab w:val="left" w:pos="542"/>
        </w:tabs>
        <w:ind w:right="110"/>
        <w:jc w:val="both"/>
        <w:rPr>
          <w:sz w:val="24"/>
        </w:rPr>
      </w:pPr>
      <w:r>
        <w:rPr>
          <w:sz w:val="24"/>
        </w:rPr>
        <w:t>To determine the difference between arms in the proportion of participants with OCT CST &lt; 320µm (</w:t>
      </w:r>
      <w:proofErr w:type="spellStart"/>
      <w:r>
        <w:rPr>
          <w:sz w:val="24"/>
        </w:rPr>
        <w:t>Spectralis</w:t>
      </w:r>
      <w:proofErr w:type="spellEnd"/>
      <w:r>
        <w:rPr>
          <w:sz w:val="24"/>
        </w:rPr>
        <w:t xml:space="preserve"> or refer to protocol appendix 1) at 52 and 100 weeks (key guide to subsequent NHS clinical</w:t>
      </w:r>
      <w:r>
        <w:rPr>
          <w:spacing w:val="-1"/>
          <w:sz w:val="24"/>
        </w:rPr>
        <w:t xml:space="preserve"> </w:t>
      </w:r>
      <w:r>
        <w:rPr>
          <w:sz w:val="24"/>
        </w:rPr>
        <w:t>practice).</w:t>
      </w:r>
    </w:p>
    <w:p w:rsidR="00B0268C" w:rsidRDefault="00C408FB">
      <w:pPr>
        <w:pStyle w:val="ListParagraph"/>
        <w:numPr>
          <w:ilvl w:val="0"/>
          <w:numId w:val="20"/>
        </w:numPr>
        <w:tabs>
          <w:tab w:val="left" w:pos="542"/>
        </w:tabs>
        <w:ind w:right="117"/>
        <w:jc w:val="both"/>
        <w:rPr>
          <w:sz w:val="24"/>
        </w:rPr>
      </w:pPr>
      <w:r>
        <w:rPr>
          <w:sz w:val="24"/>
        </w:rPr>
        <w:t>To determine the differences between arms in the mean number of injections performed per study eye per participant at 100</w:t>
      </w:r>
      <w:r>
        <w:rPr>
          <w:spacing w:val="-5"/>
          <w:sz w:val="24"/>
        </w:rPr>
        <w:t xml:space="preserve"> </w:t>
      </w:r>
      <w:r>
        <w:rPr>
          <w:sz w:val="24"/>
        </w:rPr>
        <w:t>weeks.</w:t>
      </w:r>
    </w:p>
    <w:p w:rsidR="00B0268C" w:rsidRDefault="00C408FB">
      <w:pPr>
        <w:pStyle w:val="ListParagraph"/>
        <w:numPr>
          <w:ilvl w:val="0"/>
          <w:numId w:val="20"/>
        </w:numPr>
        <w:tabs>
          <w:tab w:val="left" w:pos="542"/>
        </w:tabs>
        <w:ind w:right="116"/>
        <w:jc w:val="both"/>
        <w:rPr>
          <w:sz w:val="24"/>
        </w:rPr>
      </w:pPr>
      <w:r>
        <w:rPr>
          <w:sz w:val="24"/>
        </w:rPr>
        <w:t>To determine any differences in the relative effectiveness of the investigational treatments and comparator on quality of life and resource utilization, reported as Incremental Cost Effectiveness Ratios (ICERs) at 52 weeks.</w:t>
      </w:r>
    </w:p>
    <w:p w:rsidR="00B0268C" w:rsidRDefault="00C408FB">
      <w:pPr>
        <w:pStyle w:val="ListParagraph"/>
        <w:numPr>
          <w:ilvl w:val="0"/>
          <w:numId w:val="20"/>
        </w:numPr>
        <w:tabs>
          <w:tab w:val="left" w:pos="542"/>
        </w:tabs>
        <w:ind w:right="113"/>
        <w:jc w:val="both"/>
        <w:rPr>
          <w:sz w:val="24"/>
        </w:rPr>
      </w:pPr>
      <w:r>
        <w:rPr>
          <w:sz w:val="24"/>
        </w:rPr>
        <w:t>To determine any differences in the relative effectiveness of the investigational treatments and comparator on quality of life and resource utilisation, reported as Incremental Cost Effectiveness Ratios (ICERs) at 100 weeks.</w:t>
      </w:r>
    </w:p>
    <w:p w:rsidR="00B0268C" w:rsidRDefault="00C408FB">
      <w:pPr>
        <w:pStyle w:val="ListParagraph"/>
        <w:numPr>
          <w:ilvl w:val="0"/>
          <w:numId w:val="20"/>
        </w:numPr>
        <w:tabs>
          <w:tab w:val="left" w:pos="542"/>
        </w:tabs>
        <w:ind w:right="109"/>
        <w:jc w:val="both"/>
        <w:rPr>
          <w:sz w:val="24"/>
        </w:rPr>
      </w:pPr>
      <w:r>
        <w:rPr>
          <w:sz w:val="24"/>
        </w:rPr>
        <w:t>To detect any differences in the prevalence of local and systemic side effects at 100 weeks.</w:t>
      </w:r>
    </w:p>
    <w:p w:rsidR="00B0268C" w:rsidRDefault="00C408FB">
      <w:pPr>
        <w:pStyle w:val="ListParagraph"/>
        <w:numPr>
          <w:ilvl w:val="0"/>
          <w:numId w:val="20"/>
        </w:numPr>
        <w:tabs>
          <w:tab w:val="left" w:pos="542"/>
        </w:tabs>
        <w:ind w:right="112"/>
        <w:jc w:val="both"/>
        <w:rPr>
          <w:sz w:val="24"/>
        </w:rPr>
      </w:pPr>
      <w:r>
        <w:rPr>
          <w:sz w:val="24"/>
        </w:rPr>
        <w:t xml:space="preserve">To determine differences between arms at 100 weeks in the proportion </w:t>
      </w:r>
      <w:proofErr w:type="spellStart"/>
      <w:r>
        <w:rPr>
          <w:sz w:val="24"/>
        </w:rPr>
        <w:t>i</w:t>
      </w:r>
      <w:proofErr w:type="spellEnd"/>
      <w:r>
        <w:rPr>
          <w:sz w:val="24"/>
        </w:rPr>
        <w:t xml:space="preserve">. of persistent non-responders (see protocol Section 8.14.7), ii. </w:t>
      </w:r>
      <w:proofErr w:type="gramStart"/>
      <w:r>
        <w:rPr>
          <w:sz w:val="24"/>
        </w:rPr>
        <w:t>of</w:t>
      </w:r>
      <w:proofErr w:type="gramEnd"/>
      <w:r>
        <w:rPr>
          <w:sz w:val="24"/>
        </w:rPr>
        <w:t xml:space="preserve"> participants that develop a change in retinal non-perfusion compared to screening iii. </w:t>
      </w:r>
      <w:proofErr w:type="gramStart"/>
      <w:r>
        <w:rPr>
          <w:sz w:val="24"/>
        </w:rPr>
        <w:t>of</w:t>
      </w:r>
      <w:proofErr w:type="gramEnd"/>
      <w:r>
        <w:rPr>
          <w:sz w:val="24"/>
        </w:rPr>
        <w:t xml:space="preserve"> participants that develop anterior and posterior segment</w:t>
      </w:r>
      <w:r>
        <w:rPr>
          <w:spacing w:val="-2"/>
          <w:sz w:val="24"/>
        </w:rPr>
        <w:t xml:space="preserve"> </w:t>
      </w:r>
      <w:r>
        <w:rPr>
          <w:sz w:val="24"/>
        </w:rPr>
        <w:t>neovascularisation.</w:t>
      </w:r>
    </w:p>
    <w:p w:rsidR="00B0268C" w:rsidRDefault="00C408FB">
      <w:pPr>
        <w:pStyle w:val="ListParagraph"/>
        <w:numPr>
          <w:ilvl w:val="0"/>
          <w:numId w:val="20"/>
        </w:numPr>
        <w:tabs>
          <w:tab w:val="left" w:pos="542"/>
        </w:tabs>
        <w:ind w:right="109"/>
        <w:jc w:val="both"/>
        <w:rPr>
          <w:sz w:val="24"/>
        </w:rPr>
      </w:pPr>
      <w:r>
        <w:rPr>
          <w:sz w:val="24"/>
        </w:rPr>
        <w:t xml:space="preserve">To determine differences between arms in mean change in best corrected visual acuity at 100 weeks due to </w:t>
      </w:r>
      <w:proofErr w:type="spellStart"/>
      <w:r>
        <w:rPr>
          <w:sz w:val="24"/>
        </w:rPr>
        <w:t>i</w:t>
      </w:r>
      <w:proofErr w:type="spellEnd"/>
      <w:r>
        <w:rPr>
          <w:sz w:val="24"/>
        </w:rPr>
        <w:t>) baseline visual acuity stratified as ≤38 letters, 39-58 letters, 59-78 letters, ii) duration of disease stratified as: &lt;3 months, 3-6 months and &gt; 6 months, iii) treatment stratified as naïve vs previous treatment iv) quantity of retinal ischaemia</w:t>
      </w:r>
      <w:r>
        <w:rPr>
          <w:spacing w:val="23"/>
          <w:sz w:val="24"/>
        </w:rPr>
        <w:t xml:space="preserve"> </w:t>
      </w:r>
      <w:r>
        <w:rPr>
          <w:sz w:val="24"/>
        </w:rPr>
        <w:t>(&lt;10,</w:t>
      </w:r>
    </w:p>
    <w:p w:rsidR="00B0268C" w:rsidRDefault="00C408FB">
      <w:pPr>
        <w:pStyle w:val="BodyText"/>
        <w:ind w:left="541"/>
        <w:jc w:val="both"/>
      </w:pPr>
      <w:proofErr w:type="gramStart"/>
      <w:r>
        <w:t>≥10 and &lt; 30, and ≥ 30 DA of non-perfusion).</w:t>
      </w:r>
      <w:proofErr w:type="gramEnd"/>
    </w:p>
    <w:p w:rsidR="00B0268C" w:rsidRDefault="00C408FB">
      <w:pPr>
        <w:pStyle w:val="ListParagraph"/>
        <w:numPr>
          <w:ilvl w:val="0"/>
          <w:numId w:val="20"/>
        </w:numPr>
        <w:tabs>
          <w:tab w:val="left" w:pos="542"/>
        </w:tabs>
        <w:ind w:right="109"/>
        <w:jc w:val="both"/>
        <w:rPr>
          <w:sz w:val="24"/>
        </w:rPr>
      </w:pPr>
      <w:r>
        <w:rPr>
          <w:sz w:val="24"/>
        </w:rPr>
        <w:t>To determine differences between arms in changes in area of non-perfusion at 100 weeks and OCT anatomical features over time and at 100 weeks.</w:t>
      </w:r>
    </w:p>
    <w:p w:rsidR="00B0268C" w:rsidRDefault="00B0268C">
      <w:pPr>
        <w:jc w:val="both"/>
        <w:rPr>
          <w:sz w:val="24"/>
        </w:rPr>
        <w:sectPr w:rsidR="00B0268C">
          <w:pgSz w:w="11910" w:h="16840"/>
          <w:pgMar w:top="1040" w:right="1360" w:bottom="1660" w:left="1360" w:header="712" w:footer="1457" w:gutter="0"/>
          <w:cols w:space="720"/>
        </w:sectPr>
      </w:pPr>
    </w:p>
    <w:p w:rsidR="00B0268C" w:rsidRDefault="00B0268C">
      <w:pPr>
        <w:pStyle w:val="BodyText"/>
        <w:spacing w:before="4"/>
        <w:rPr>
          <w:sz w:val="17"/>
        </w:rPr>
      </w:pPr>
    </w:p>
    <w:p w:rsidR="00B0268C" w:rsidRDefault="00B0268C">
      <w:pPr>
        <w:rPr>
          <w:sz w:val="17"/>
        </w:rPr>
        <w:sectPr w:rsidR="00B0268C">
          <w:pgSz w:w="11910" w:h="16840"/>
          <w:pgMar w:top="1040" w:right="1360" w:bottom="1660" w:left="1360" w:header="712" w:footer="1457" w:gutter="0"/>
          <w:cols w:space="720"/>
        </w:sectPr>
      </w:pPr>
    </w:p>
    <w:p w:rsidR="00B0268C" w:rsidRDefault="00C408FB">
      <w:pPr>
        <w:pStyle w:val="Heading1"/>
        <w:numPr>
          <w:ilvl w:val="1"/>
          <w:numId w:val="19"/>
        </w:numPr>
        <w:tabs>
          <w:tab w:val="left" w:pos="585"/>
        </w:tabs>
        <w:spacing w:before="84"/>
      </w:pPr>
      <w:bookmarkStart w:id="22" w:name="_bookmark22"/>
      <w:bookmarkEnd w:id="22"/>
      <w:r>
        <w:lastRenderedPageBreak/>
        <w:t>Trial</w:t>
      </w:r>
      <w:r>
        <w:rPr>
          <w:spacing w:val="-1"/>
        </w:rPr>
        <w:t xml:space="preserve"> </w:t>
      </w:r>
      <w:r>
        <w:t>design</w:t>
      </w:r>
    </w:p>
    <w:p w:rsidR="00B0268C" w:rsidRDefault="00C408FB">
      <w:pPr>
        <w:pStyle w:val="BodyText"/>
        <w:spacing w:before="262"/>
        <w:ind w:left="114" w:right="110"/>
        <w:jc w:val="both"/>
      </w:pPr>
      <w:r>
        <w:t>This is a two year multicentre (approximately 40 centres), double-blind pragmatic individually randomised controlled trial that will test the non-inferiority visual acuity from treatment with Bevacizumab and Aflibercept to Ranibizumab at 100 weeks in 459 adult participants with MO due to CRVO of less than 12 months duration.</w:t>
      </w:r>
    </w:p>
    <w:p w:rsidR="00B0268C" w:rsidRDefault="00B0268C">
      <w:pPr>
        <w:pStyle w:val="BodyText"/>
        <w:spacing w:before="4"/>
      </w:pPr>
    </w:p>
    <w:p w:rsidR="00B0268C" w:rsidRDefault="00C408FB">
      <w:pPr>
        <w:pStyle w:val="Heading2"/>
        <w:numPr>
          <w:ilvl w:val="1"/>
          <w:numId w:val="19"/>
        </w:numPr>
        <w:tabs>
          <w:tab w:val="left" w:pos="517"/>
        </w:tabs>
        <w:ind w:left="516" w:hanging="403"/>
      </w:pPr>
      <w:bookmarkStart w:id="23" w:name="_bookmark23"/>
      <w:bookmarkEnd w:id="23"/>
      <w:r>
        <w:t>Treatment</w:t>
      </w:r>
      <w:r>
        <w:rPr>
          <w:spacing w:val="-1"/>
        </w:rPr>
        <w:t xml:space="preserve"> </w:t>
      </w:r>
      <w:r>
        <w:t>arms</w:t>
      </w:r>
    </w:p>
    <w:p w:rsidR="00B0268C" w:rsidRDefault="00B0268C">
      <w:pPr>
        <w:pStyle w:val="BodyText"/>
        <w:spacing w:before="10"/>
        <w:rPr>
          <w:rFonts w:ascii="Arial"/>
          <w:b/>
          <w:sz w:val="28"/>
        </w:rPr>
      </w:pPr>
    </w:p>
    <w:p w:rsidR="00B0268C" w:rsidRDefault="00C408FB">
      <w:pPr>
        <w:pStyle w:val="BodyText"/>
        <w:ind w:left="114" w:right="111"/>
        <w:jc w:val="both"/>
      </w:pPr>
      <w:r>
        <w:t>The trial is randomised with three arms and with equal allocation of participants in a 1:1:1 ratio to the three arms.</w:t>
      </w:r>
    </w:p>
    <w:p w:rsidR="00B0268C" w:rsidRDefault="00B0268C">
      <w:pPr>
        <w:pStyle w:val="BodyText"/>
      </w:pPr>
    </w:p>
    <w:p w:rsidR="00B0268C" w:rsidRDefault="00C408FB">
      <w:pPr>
        <w:pStyle w:val="BodyText"/>
        <w:ind w:left="114" w:right="110"/>
        <w:jc w:val="both"/>
      </w:pPr>
      <w:r>
        <w:rPr>
          <w:b/>
        </w:rPr>
        <w:t xml:space="preserve">Arm A: Treatment: </w:t>
      </w:r>
      <w:r>
        <w:t>An intravitreal injection of Aflibercept (</w:t>
      </w:r>
      <w:proofErr w:type="spellStart"/>
      <w:r>
        <w:t>Eylea</w:t>
      </w:r>
      <w:proofErr w:type="spellEnd"/>
      <w:r>
        <w:t>, Bayer) (2.0mg/5µl) will be administered at baseline, 4, 8 and 12 weeks. After this the retreatment criteria is ascertained (see Protocol section</w:t>
      </w:r>
      <w:r>
        <w:rPr>
          <w:spacing w:val="2"/>
        </w:rPr>
        <w:t xml:space="preserve"> </w:t>
      </w:r>
      <w:r>
        <w:t>8.14).</w:t>
      </w:r>
    </w:p>
    <w:p w:rsidR="00B0268C" w:rsidRDefault="00B0268C">
      <w:pPr>
        <w:pStyle w:val="BodyText"/>
        <w:spacing w:before="1"/>
      </w:pPr>
    </w:p>
    <w:p w:rsidR="00B0268C" w:rsidRDefault="00C408FB">
      <w:pPr>
        <w:pStyle w:val="BodyText"/>
        <w:ind w:left="114" w:right="112"/>
        <w:jc w:val="both"/>
      </w:pPr>
      <w:r>
        <w:rPr>
          <w:b/>
        </w:rPr>
        <w:t>Arm B: Treatment</w:t>
      </w:r>
      <w:r>
        <w:t>: An intravitreal injection of Bevacizumab (</w:t>
      </w:r>
      <w:proofErr w:type="spellStart"/>
      <w:r>
        <w:t>Avastin</w:t>
      </w:r>
      <w:proofErr w:type="spellEnd"/>
      <w:r>
        <w:t>, Roche) (1.25mg in 50ul) will be administered at baseline, 4, 8 and 12 weeks. After this the retreatment criteria is ascertained (see Protocol section</w:t>
      </w:r>
      <w:r>
        <w:rPr>
          <w:spacing w:val="2"/>
        </w:rPr>
        <w:t xml:space="preserve"> </w:t>
      </w:r>
      <w:r>
        <w:t>8.14).</w:t>
      </w:r>
    </w:p>
    <w:p w:rsidR="00B0268C" w:rsidRDefault="00B0268C">
      <w:pPr>
        <w:pStyle w:val="BodyText"/>
      </w:pPr>
    </w:p>
    <w:p w:rsidR="00B0268C" w:rsidRDefault="00C408FB">
      <w:pPr>
        <w:pStyle w:val="BodyText"/>
        <w:ind w:left="114" w:right="112"/>
        <w:jc w:val="both"/>
      </w:pPr>
      <w:r>
        <w:rPr>
          <w:b/>
        </w:rPr>
        <w:t>Arm C: Control</w:t>
      </w:r>
      <w:r>
        <w:t>: An intravitreal injection of Ranibizumab (</w:t>
      </w:r>
      <w:proofErr w:type="spellStart"/>
      <w:r>
        <w:t>Lucentis</w:t>
      </w:r>
      <w:proofErr w:type="spellEnd"/>
      <w:r>
        <w:t>, Novartis) [0.5mg/50ul] will be administered at baseline, 4, 8 and 12 weeks. After this the retreatment criteria is ascertained (see Protocol section 8.14).</w:t>
      </w:r>
    </w:p>
    <w:p w:rsidR="00B0268C" w:rsidRDefault="00B0268C">
      <w:pPr>
        <w:pStyle w:val="BodyText"/>
      </w:pPr>
    </w:p>
    <w:p w:rsidR="00B0268C" w:rsidRDefault="00C408FB">
      <w:pPr>
        <w:pStyle w:val="BodyText"/>
        <w:ind w:left="114" w:right="112"/>
        <w:jc w:val="both"/>
      </w:pPr>
      <w:r>
        <w:t>Different labels can be used for the control arm, such as placebo, comparator, standard care, or control.</w:t>
      </w:r>
    </w:p>
    <w:p w:rsidR="00B0268C" w:rsidRDefault="00B0268C">
      <w:pPr>
        <w:pStyle w:val="BodyText"/>
        <w:spacing w:before="3"/>
        <w:rPr>
          <w:sz w:val="23"/>
        </w:rPr>
      </w:pPr>
    </w:p>
    <w:p w:rsidR="00B0268C" w:rsidRDefault="00C408FB">
      <w:pPr>
        <w:pStyle w:val="Heading2"/>
        <w:numPr>
          <w:ilvl w:val="1"/>
          <w:numId w:val="19"/>
        </w:numPr>
        <w:tabs>
          <w:tab w:val="left" w:pos="517"/>
        </w:tabs>
        <w:ind w:left="516" w:hanging="403"/>
      </w:pPr>
      <w:bookmarkStart w:id="24" w:name="_bookmark24"/>
      <w:bookmarkEnd w:id="24"/>
      <w:r>
        <w:t>Type of</w:t>
      </w:r>
      <w:r>
        <w:rPr>
          <w:spacing w:val="-1"/>
        </w:rPr>
        <w:t xml:space="preserve"> </w:t>
      </w:r>
      <w:r>
        <w:t>RCT</w:t>
      </w:r>
    </w:p>
    <w:p w:rsidR="00B0268C" w:rsidRDefault="00B0268C">
      <w:pPr>
        <w:pStyle w:val="BodyText"/>
        <w:spacing w:before="10"/>
        <w:rPr>
          <w:rFonts w:ascii="Arial"/>
          <w:b/>
          <w:sz w:val="27"/>
        </w:rPr>
      </w:pPr>
    </w:p>
    <w:p w:rsidR="00B0268C" w:rsidRDefault="00C408FB">
      <w:pPr>
        <w:pStyle w:val="BodyText"/>
        <w:spacing w:before="1"/>
        <w:ind w:left="114"/>
        <w:jc w:val="both"/>
      </w:pPr>
      <w:r>
        <w:t>This is a phase III, parallel groups’ trial.</w:t>
      </w:r>
    </w:p>
    <w:p w:rsidR="00B0268C" w:rsidRDefault="00B0268C">
      <w:pPr>
        <w:pStyle w:val="BodyText"/>
        <w:spacing w:before="3"/>
        <w:rPr>
          <w:sz w:val="23"/>
        </w:rPr>
      </w:pPr>
    </w:p>
    <w:p w:rsidR="00B0268C" w:rsidRDefault="00C408FB">
      <w:pPr>
        <w:pStyle w:val="Heading2"/>
        <w:numPr>
          <w:ilvl w:val="1"/>
          <w:numId w:val="19"/>
        </w:numPr>
        <w:tabs>
          <w:tab w:val="left" w:pos="517"/>
        </w:tabs>
        <w:ind w:left="516" w:hanging="403"/>
      </w:pPr>
      <w:bookmarkStart w:id="25" w:name="_bookmark25"/>
      <w:bookmarkEnd w:id="25"/>
      <w:r>
        <w:t>Frequency and duration of</w:t>
      </w:r>
      <w:r>
        <w:rPr>
          <w:spacing w:val="-9"/>
        </w:rPr>
        <w:t xml:space="preserve"> </w:t>
      </w:r>
      <w:r>
        <w:t>follow-up</w:t>
      </w:r>
    </w:p>
    <w:p w:rsidR="00B0268C" w:rsidRDefault="00B0268C">
      <w:pPr>
        <w:pStyle w:val="BodyText"/>
        <w:spacing w:before="9"/>
        <w:rPr>
          <w:rFonts w:ascii="Arial"/>
          <w:b/>
          <w:sz w:val="27"/>
        </w:rPr>
      </w:pPr>
    </w:p>
    <w:p w:rsidR="00B0268C" w:rsidRDefault="00C408FB">
      <w:pPr>
        <w:pStyle w:val="BodyText"/>
        <w:spacing w:before="1"/>
        <w:ind w:left="114" w:right="110"/>
        <w:jc w:val="both"/>
      </w:pPr>
      <w:r>
        <w:t>Participants in all 3 study arms will be seen at weeks 0, 4, 8, 12, 16, 20 and 24. After this participants will potentially be seen every 4 weeks until week 96 if retreatment criteria are met. If retreatment criteria are not met at three successive visits from week 24 onwards the visit interval is increased to 8 weekly until week 96. They will also be finally seen at 100- weeks.</w:t>
      </w:r>
    </w:p>
    <w:p w:rsidR="00B0268C" w:rsidRDefault="00C408FB">
      <w:pPr>
        <w:pStyle w:val="Heading1"/>
        <w:numPr>
          <w:ilvl w:val="1"/>
          <w:numId w:val="18"/>
        </w:numPr>
        <w:tabs>
          <w:tab w:val="left" w:pos="585"/>
        </w:tabs>
        <w:spacing w:before="206"/>
        <w:jc w:val="left"/>
      </w:pPr>
      <w:bookmarkStart w:id="26" w:name="_bookmark26"/>
      <w:bookmarkEnd w:id="26"/>
      <w:r>
        <w:t>Trial</w:t>
      </w:r>
      <w:r>
        <w:rPr>
          <w:spacing w:val="-1"/>
        </w:rPr>
        <w:t xml:space="preserve"> </w:t>
      </w:r>
      <w:r>
        <w:t>measures</w:t>
      </w:r>
    </w:p>
    <w:p w:rsidR="00B0268C" w:rsidRDefault="00C408FB">
      <w:pPr>
        <w:pStyle w:val="Heading2"/>
        <w:numPr>
          <w:ilvl w:val="1"/>
          <w:numId w:val="18"/>
        </w:numPr>
        <w:tabs>
          <w:tab w:val="left" w:pos="517"/>
        </w:tabs>
        <w:spacing w:before="263"/>
        <w:ind w:left="516" w:hanging="403"/>
        <w:jc w:val="left"/>
      </w:pPr>
      <w:bookmarkStart w:id="27" w:name="_bookmark27"/>
      <w:bookmarkEnd w:id="27"/>
      <w:r>
        <w:t>Primary</w:t>
      </w:r>
      <w:r>
        <w:rPr>
          <w:spacing w:val="-6"/>
        </w:rPr>
        <w:t xml:space="preserve"> </w:t>
      </w:r>
      <w:r>
        <w:t>outcome</w:t>
      </w:r>
    </w:p>
    <w:p w:rsidR="00B0268C" w:rsidRDefault="00B0268C">
      <w:pPr>
        <w:pStyle w:val="BodyText"/>
        <w:spacing w:before="10"/>
        <w:rPr>
          <w:rFonts w:ascii="Arial"/>
          <w:b/>
          <w:sz w:val="27"/>
        </w:rPr>
      </w:pPr>
    </w:p>
    <w:p w:rsidR="00B0268C" w:rsidRDefault="00C408FB">
      <w:pPr>
        <w:pStyle w:val="BodyText"/>
        <w:ind w:left="114" w:right="110"/>
        <w:jc w:val="both"/>
      </w:pPr>
      <w:r>
        <w:t xml:space="preserve">The primary outcome is Best Corrected Visual Acuity (BCVA) in the study eye measured in ETDRS letter score at 4 metres at 100 weeks. Measurements of BCVA at milestone visits are included in the analysis of the primary outcome. Any BCVA measurement will be excluded from the analysis if it is both more than 3 standard deviations below the mean at that </w:t>
      </w:r>
      <w:proofErr w:type="spellStart"/>
      <w:r>
        <w:t>timepoint</w:t>
      </w:r>
      <w:proofErr w:type="spellEnd"/>
      <w:r>
        <w:t xml:space="preserve"> (including all measurements) AND taken within 3 months of occurrence of a vitreous haemorrhage or another cause unrelated to maculopathy secondary to CRVO (such as </w:t>
      </w:r>
      <w:proofErr w:type="spellStart"/>
      <w:r>
        <w:t>neovascular</w:t>
      </w:r>
      <w:proofErr w:type="spellEnd"/>
      <w:r>
        <w:t xml:space="preserve"> glaucoma).</w:t>
      </w:r>
    </w:p>
    <w:p w:rsidR="00B0268C" w:rsidRDefault="00B0268C">
      <w:pPr>
        <w:jc w:val="both"/>
        <w:sectPr w:rsidR="00B0268C">
          <w:pgSz w:w="11910" w:h="16840"/>
          <w:pgMar w:top="1040" w:right="1360" w:bottom="1640" w:left="1360" w:header="712" w:footer="1457" w:gutter="0"/>
          <w:cols w:space="720"/>
        </w:sectPr>
      </w:pPr>
    </w:p>
    <w:p w:rsidR="00B0268C" w:rsidRDefault="00C408FB">
      <w:pPr>
        <w:pStyle w:val="Heading2"/>
        <w:numPr>
          <w:ilvl w:val="1"/>
          <w:numId w:val="18"/>
        </w:numPr>
        <w:tabs>
          <w:tab w:val="left" w:pos="518"/>
        </w:tabs>
        <w:spacing w:before="83"/>
        <w:ind w:left="517" w:hanging="404"/>
        <w:jc w:val="left"/>
      </w:pPr>
      <w:bookmarkStart w:id="28" w:name="_bookmark28"/>
      <w:bookmarkEnd w:id="28"/>
      <w:r>
        <w:lastRenderedPageBreak/>
        <w:t>Secondary</w:t>
      </w:r>
      <w:r>
        <w:rPr>
          <w:spacing w:val="-7"/>
        </w:rPr>
        <w:t xml:space="preserve"> </w:t>
      </w:r>
      <w:r>
        <w:t>outcomes</w:t>
      </w:r>
    </w:p>
    <w:p w:rsidR="00B0268C" w:rsidRDefault="00B0268C">
      <w:pPr>
        <w:pStyle w:val="BodyText"/>
        <w:spacing w:before="1"/>
        <w:rPr>
          <w:rFonts w:ascii="Arial"/>
          <w:b/>
          <w:sz w:val="28"/>
        </w:rPr>
      </w:pPr>
    </w:p>
    <w:p w:rsidR="00B0268C" w:rsidRDefault="00C408FB">
      <w:pPr>
        <w:pStyle w:val="BodyText"/>
        <w:ind w:left="114" w:right="117"/>
        <w:jc w:val="both"/>
      </w:pPr>
      <w:r>
        <w:t>The secondary efficacy outcome measures are listed as follows according to the type of variable they will be formally analysed at 52 weeks and 100 weeks, but also measured at other time points.</w:t>
      </w:r>
    </w:p>
    <w:p w:rsidR="00B0268C" w:rsidRDefault="00C408FB">
      <w:pPr>
        <w:pStyle w:val="ListParagraph"/>
        <w:numPr>
          <w:ilvl w:val="2"/>
          <w:numId w:val="18"/>
        </w:numPr>
        <w:tabs>
          <w:tab w:val="left" w:pos="614"/>
        </w:tabs>
        <w:spacing w:before="205"/>
        <w:rPr>
          <w:rFonts w:ascii="Arial"/>
          <w:b/>
          <w:sz w:val="20"/>
        </w:rPr>
      </w:pPr>
      <w:bookmarkStart w:id="29" w:name="_bookmark29"/>
      <w:bookmarkEnd w:id="29"/>
      <w:r>
        <w:rPr>
          <w:rFonts w:ascii="Arial"/>
          <w:b/>
          <w:sz w:val="20"/>
        </w:rPr>
        <w:t>Continuous outcome</w:t>
      </w:r>
      <w:r>
        <w:rPr>
          <w:rFonts w:ascii="Arial"/>
          <w:b/>
          <w:spacing w:val="-11"/>
          <w:sz w:val="20"/>
        </w:rPr>
        <w:t xml:space="preserve"> </w:t>
      </w:r>
      <w:r>
        <w:rPr>
          <w:rFonts w:ascii="Arial"/>
          <w:b/>
          <w:sz w:val="20"/>
        </w:rPr>
        <w:t>variables:</w:t>
      </w:r>
    </w:p>
    <w:p w:rsidR="00B0268C" w:rsidRDefault="00B0268C">
      <w:pPr>
        <w:pStyle w:val="BodyText"/>
        <w:spacing w:before="6"/>
        <w:rPr>
          <w:rFonts w:ascii="Arial"/>
          <w:b/>
          <w:sz w:val="23"/>
        </w:rPr>
      </w:pPr>
    </w:p>
    <w:p w:rsidR="00B0268C" w:rsidRDefault="00C408FB">
      <w:pPr>
        <w:pStyle w:val="ListParagraph"/>
        <w:numPr>
          <w:ilvl w:val="0"/>
          <w:numId w:val="17"/>
        </w:numPr>
        <w:tabs>
          <w:tab w:val="left" w:pos="301"/>
        </w:tabs>
        <w:spacing w:before="1"/>
        <w:rPr>
          <w:sz w:val="24"/>
        </w:rPr>
      </w:pPr>
      <w:r>
        <w:rPr>
          <w:sz w:val="24"/>
          <w:u w:val="single"/>
        </w:rPr>
        <w:t>Visual Acuity and Clinical</w:t>
      </w:r>
      <w:r>
        <w:rPr>
          <w:spacing w:val="-7"/>
          <w:sz w:val="24"/>
          <w:u w:val="single"/>
        </w:rPr>
        <w:t xml:space="preserve"> </w:t>
      </w:r>
      <w:r>
        <w:rPr>
          <w:sz w:val="24"/>
          <w:u w:val="single"/>
        </w:rPr>
        <w:t>Outcomes</w:t>
      </w:r>
    </w:p>
    <w:p w:rsidR="00B0268C" w:rsidRDefault="00C408FB">
      <w:pPr>
        <w:pStyle w:val="ListParagraph"/>
        <w:numPr>
          <w:ilvl w:val="1"/>
          <w:numId w:val="17"/>
        </w:numPr>
        <w:tabs>
          <w:tab w:val="left" w:pos="834"/>
        </w:tabs>
        <w:rPr>
          <w:sz w:val="24"/>
        </w:rPr>
      </w:pPr>
      <w:r>
        <w:rPr>
          <w:sz w:val="24"/>
        </w:rPr>
        <w:t>Change from baseline in ETDRS letter score measured at 4 metres at 52</w:t>
      </w:r>
      <w:r>
        <w:rPr>
          <w:spacing w:val="-7"/>
          <w:sz w:val="24"/>
        </w:rPr>
        <w:t xml:space="preserve"> </w:t>
      </w:r>
      <w:r>
        <w:rPr>
          <w:sz w:val="24"/>
        </w:rPr>
        <w:t>weeks.</w:t>
      </w:r>
    </w:p>
    <w:p w:rsidR="00B0268C" w:rsidRDefault="00C408FB">
      <w:pPr>
        <w:pStyle w:val="ListParagraph"/>
        <w:numPr>
          <w:ilvl w:val="1"/>
          <w:numId w:val="17"/>
        </w:numPr>
        <w:tabs>
          <w:tab w:val="left" w:pos="834"/>
        </w:tabs>
        <w:ind w:right="112"/>
        <w:rPr>
          <w:sz w:val="24"/>
        </w:rPr>
      </w:pPr>
      <w:r>
        <w:rPr>
          <w:sz w:val="24"/>
        </w:rPr>
        <w:t>Change from baseline in mean OCT central subfield thickness (CST) at 52 and 100 weeks.</w:t>
      </w:r>
    </w:p>
    <w:p w:rsidR="00B0268C" w:rsidRDefault="00C408FB">
      <w:pPr>
        <w:pStyle w:val="ListParagraph"/>
        <w:numPr>
          <w:ilvl w:val="1"/>
          <w:numId w:val="17"/>
        </w:numPr>
        <w:tabs>
          <w:tab w:val="left" w:pos="834"/>
        </w:tabs>
        <w:rPr>
          <w:sz w:val="24"/>
        </w:rPr>
      </w:pPr>
      <w:r>
        <w:rPr>
          <w:sz w:val="24"/>
        </w:rPr>
        <w:t>Change from baseline in macular volume at 52 and 100</w:t>
      </w:r>
      <w:r>
        <w:rPr>
          <w:spacing w:val="-3"/>
          <w:sz w:val="24"/>
        </w:rPr>
        <w:t xml:space="preserve"> </w:t>
      </w:r>
      <w:r>
        <w:rPr>
          <w:sz w:val="24"/>
        </w:rPr>
        <w:t>weeks.</w:t>
      </w:r>
    </w:p>
    <w:p w:rsidR="00B0268C" w:rsidRDefault="00C408FB">
      <w:pPr>
        <w:pStyle w:val="ListParagraph"/>
        <w:numPr>
          <w:ilvl w:val="1"/>
          <w:numId w:val="17"/>
        </w:numPr>
        <w:tabs>
          <w:tab w:val="left" w:pos="834"/>
        </w:tabs>
        <w:rPr>
          <w:sz w:val="24"/>
        </w:rPr>
      </w:pPr>
      <w:r>
        <w:rPr>
          <w:sz w:val="24"/>
        </w:rPr>
        <w:t>Number of injections performed in the study eye at 100</w:t>
      </w:r>
      <w:r>
        <w:rPr>
          <w:spacing w:val="-3"/>
          <w:sz w:val="24"/>
        </w:rPr>
        <w:t xml:space="preserve"> </w:t>
      </w:r>
      <w:r>
        <w:rPr>
          <w:sz w:val="24"/>
        </w:rPr>
        <w:t>weeks</w:t>
      </w:r>
    </w:p>
    <w:p w:rsidR="00B0268C" w:rsidRDefault="00C408FB">
      <w:pPr>
        <w:pStyle w:val="ListParagraph"/>
        <w:numPr>
          <w:ilvl w:val="1"/>
          <w:numId w:val="17"/>
        </w:numPr>
        <w:tabs>
          <w:tab w:val="left" w:pos="834"/>
        </w:tabs>
        <w:ind w:right="109"/>
        <w:rPr>
          <w:sz w:val="24"/>
        </w:rPr>
      </w:pPr>
      <w:r>
        <w:rPr>
          <w:sz w:val="24"/>
        </w:rPr>
        <w:t>Change in retinal non-perfusion as assessed by mean disc area of non-perfusion at 100 weeks and by the ischaemic index at 100</w:t>
      </w:r>
      <w:r>
        <w:rPr>
          <w:spacing w:val="-7"/>
          <w:sz w:val="24"/>
        </w:rPr>
        <w:t xml:space="preserve"> </w:t>
      </w:r>
      <w:r>
        <w:rPr>
          <w:sz w:val="24"/>
        </w:rPr>
        <w:t>weeks.</w:t>
      </w:r>
    </w:p>
    <w:p w:rsidR="00B0268C" w:rsidRDefault="00C408FB">
      <w:pPr>
        <w:pStyle w:val="ListParagraph"/>
        <w:numPr>
          <w:ilvl w:val="0"/>
          <w:numId w:val="17"/>
        </w:numPr>
        <w:tabs>
          <w:tab w:val="left" w:pos="369"/>
        </w:tabs>
        <w:ind w:left="368" w:hanging="255"/>
        <w:rPr>
          <w:sz w:val="24"/>
        </w:rPr>
      </w:pPr>
      <w:r>
        <w:rPr>
          <w:sz w:val="24"/>
          <w:u w:val="single"/>
        </w:rPr>
        <w:t>Patient reported</w:t>
      </w:r>
      <w:r>
        <w:rPr>
          <w:spacing w:val="-1"/>
          <w:sz w:val="24"/>
          <w:u w:val="single"/>
        </w:rPr>
        <w:t xml:space="preserve"> </w:t>
      </w:r>
      <w:r>
        <w:rPr>
          <w:sz w:val="24"/>
          <w:u w:val="single"/>
        </w:rPr>
        <w:t>outcomes</w:t>
      </w:r>
    </w:p>
    <w:p w:rsidR="00B0268C" w:rsidRDefault="00C408FB">
      <w:pPr>
        <w:pStyle w:val="ListParagraph"/>
        <w:numPr>
          <w:ilvl w:val="1"/>
          <w:numId w:val="17"/>
        </w:numPr>
        <w:tabs>
          <w:tab w:val="left" w:pos="834"/>
        </w:tabs>
        <w:ind w:right="112"/>
        <w:rPr>
          <w:sz w:val="24"/>
        </w:rPr>
      </w:pPr>
      <w:r>
        <w:rPr>
          <w:sz w:val="24"/>
        </w:rPr>
        <w:t>National Eye Institute visual function questionnaire (VFQ25) composite score, distance, and near subscales at 52 and 100 weeks.</w:t>
      </w:r>
    </w:p>
    <w:p w:rsidR="00B0268C" w:rsidRDefault="00C408FB">
      <w:pPr>
        <w:pStyle w:val="ListParagraph"/>
        <w:numPr>
          <w:ilvl w:val="1"/>
          <w:numId w:val="17"/>
        </w:numPr>
        <w:tabs>
          <w:tab w:val="left" w:pos="834"/>
        </w:tabs>
        <w:ind w:left="114" w:right="695" w:firstLine="360"/>
        <w:rPr>
          <w:sz w:val="24"/>
        </w:rPr>
      </w:pPr>
      <w:r>
        <w:rPr>
          <w:sz w:val="24"/>
        </w:rPr>
        <w:t>Quality of life (EQ-5D with and without vision bolt-on) at 52 and 100 weeks.</w:t>
      </w:r>
      <w:r>
        <w:rPr>
          <w:sz w:val="24"/>
          <w:u w:val="single"/>
        </w:rPr>
        <w:t xml:space="preserve"> iii. Economic reported outcomes (this is detailed in the health economics analysis</w:t>
      </w:r>
      <w:r>
        <w:rPr>
          <w:spacing w:val="-14"/>
          <w:sz w:val="24"/>
          <w:u w:val="single"/>
        </w:rPr>
        <w:t xml:space="preserve"> </w:t>
      </w:r>
      <w:r>
        <w:rPr>
          <w:sz w:val="24"/>
          <w:u w:val="single"/>
        </w:rPr>
        <w:t>plan)</w:t>
      </w:r>
    </w:p>
    <w:p w:rsidR="00B0268C" w:rsidRDefault="00C408FB">
      <w:pPr>
        <w:pStyle w:val="ListParagraph"/>
        <w:numPr>
          <w:ilvl w:val="0"/>
          <w:numId w:val="16"/>
        </w:numPr>
        <w:tabs>
          <w:tab w:val="left" w:pos="834"/>
        </w:tabs>
        <w:ind w:right="117"/>
        <w:rPr>
          <w:sz w:val="24"/>
        </w:rPr>
      </w:pPr>
      <w:r>
        <w:rPr>
          <w:sz w:val="24"/>
        </w:rPr>
        <w:t>Quality of life scales (VFQ25 composite score, distance and near subscales, and EQ5D with and without vision bolt-on) at 0, 12, 24, 52, 76 and 100</w:t>
      </w:r>
      <w:r>
        <w:rPr>
          <w:spacing w:val="-4"/>
          <w:sz w:val="24"/>
        </w:rPr>
        <w:t xml:space="preserve"> </w:t>
      </w:r>
      <w:r>
        <w:rPr>
          <w:sz w:val="24"/>
        </w:rPr>
        <w:t>weeks.</w:t>
      </w:r>
    </w:p>
    <w:p w:rsidR="00B0268C" w:rsidRDefault="00C408FB">
      <w:pPr>
        <w:pStyle w:val="ListParagraph"/>
        <w:numPr>
          <w:ilvl w:val="0"/>
          <w:numId w:val="16"/>
        </w:numPr>
        <w:tabs>
          <w:tab w:val="left" w:pos="834"/>
        </w:tabs>
        <w:spacing w:before="1"/>
        <w:ind w:right="117"/>
        <w:rPr>
          <w:sz w:val="24"/>
        </w:rPr>
      </w:pPr>
      <w:r>
        <w:rPr>
          <w:sz w:val="24"/>
        </w:rPr>
        <w:t>Resource utilization (Client Service Receipt Inventories) at 0, 12, 24, 52, 76 and 100 weeks.</w:t>
      </w:r>
    </w:p>
    <w:p w:rsidR="00B0268C" w:rsidRDefault="00C408FB">
      <w:pPr>
        <w:pStyle w:val="ListParagraph"/>
        <w:numPr>
          <w:ilvl w:val="2"/>
          <w:numId w:val="18"/>
        </w:numPr>
        <w:tabs>
          <w:tab w:val="left" w:pos="614"/>
        </w:tabs>
        <w:spacing w:before="204"/>
        <w:rPr>
          <w:rFonts w:ascii="Arial"/>
          <w:b/>
          <w:sz w:val="20"/>
        </w:rPr>
      </w:pPr>
      <w:bookmarkStart w:id="30" w:name="_bookmark30"/>
      <w:bookmarkEnd w:id="30"/>
      <w:r>
        <w:rPr>
          <w:rFonts w:ascii="Arial"/>
          <w:b/>
          <w:sz w:val="20"/>
        </w:rPr>
        <w:t>Categorical outcome variables:</w:t>
      </w:r>
    </w:p>
    <w:p w:rsidR="00B0268C" w:rsidRDefault="00B0268C">
      <w:pPr>
        <w:pStyle w:val="BodyText"/>
        <w:spacing w:before="8"/>
        <w:rPr>
          <w:rFonts w:ascii="Arial"/>
          <w:b/>
          <w:sz w:val="22"/>
        </w:rPr>
      </w:pPr>
    </w:p>
    <w:p w:rsidR="00B0268C" w:rsidRDefault="00C408FB">
      <w:pPr>
        <w:pStyle w:val="ListParagraph"/>
        <w:numPr>
          <w:ilvl w:val="0"/>
          <w:numId w:val="15"/>
        </w:numPr>
        <w:tabs>
          <w:tab w:val="left" w:pos="294"/>
        </w:tabs>
        <w:spacing w:line="263" w:lineRule="exact"/>
        <w:jc w:val="both"/>
        <w:rPr>
          <w:sz w:val="23"/>
        </w:rPr>
      </w:pPr>
      <w:r>
        <w:rPr>
          <w:sz w:val="23"/>
          <w:u w:val="single"/>
        </w:rPr>
        <w:t>Visual Acuity and Clinical</w:t>
      </w:r>
      <w:r>
        <w:rPr>
          <w:spacing w:val="-14"/>
          <w:sz w:val="23"/>
          <w:u w:val="single"/>
        </w:rPr>
        <w:t xml:space="preserve"> </w:t>
      </w:r>
      <w:r>
        <w:rPr>
          <w:sz w:val="23"/>
          <w:u w:val="single"/>
        </w:rPr>
        <w:t>Outcomes</w:t>
      </w:r>
    </w:p>
    <w:p w:rsidR="00B0268C" w:rsidRDefault="00C408FB">
      <w:pPr>
        <w:pStyle w:val="ListParagraph"/>
        <w:numPr>
          <w:ilvl w:val="1"/>
          <w:numId w:val="15"/>
        </w:numPr>
        <w:tabs>
          <w:tab w:val="left" w:pos="834"/>
        </w:tabs>
        <w:ind w:right="113"/>
        <w:jc w:val="both"/>
        <w:rPr>
          <w:sz w:val="24"/>
        </w:rPr>
      </w:pPr>
      <w:r>
        <w:rPr>
          <w:sz w:val="24"/>
        </w:rPr>
        <w:t xml:space="preserve">Participants with ≥15 ETDRS letter improvement (appreciable visual gain), ≥ 10 letter improvement, &lt;15 letter loss and ≥ 30 ETDRS letter loss (severe visual loss) </w:t>
      </w:r>
      <w:r>
        <w:rPr>
          <w:spacing w:val="-4"/>
          <w:sz w:val="24"/>
        </w:rPr>
        <w:t xml:space="preserve">at </w:t>
      </w:r>
      <w:r>
        <w:rPr>
          <w:sz w:val="24"/>
        </w:rPr>
        <w:t>52 and 100</w:t>
      </w:r>
      <w:r>
        <w:rPr>
          <w:spacing w:val="-1"/>
          <w:sz w:val="24"/>
        </w:rPr>
        <w:t xml:space="preserve"> </w:t>
      </w:r>
      <w:r>
        <w:rPr>
          <w:sz w:val="24"/>
        </w:rPr>
        <w:t>weeks.</w:t>
      </w:r>
    </w:p>
    <w:p w:rsidR="00B0268C" w:rsidRDefault="00C408FB">
      <w:pPr>
        <w:pStyle w:val="ListParagraph"/>
        <w:numPr>
          <w:ilvl w:val="1"/>
          <w:numId w:val="15"/>
        </w:numPr>
        <w:tabs>
          <w:tab w:val="left" w:pos="834"/>
        </w:tabs>
        <w:ind w:right="109"/>
        <w:jc w:val="both"/>
        <w:rPr>
          <w:sz w:val="24"/>
        </w:rPr>
      </w:pPr>
      <w:r>
        <w:rPr>
          <w:sz w:val="24"/>
        </w:rPr>
        <w:t xml:space="preserve">Participants with ≥73 ETDRS letters or better than 6/12 Snellen equivalent (i.e. approximate driving visual acuity), ≤58 ETDRS letter (≤6/24) and ≤19 </w:t>
      </w:r>
      <w:proofErr w:type="gramStart"/>
      <w:r>
        <w:rPr>
          <w:sz w:val="24"/>
        </w:rPr>
        <w:t>letters  (</w:t>
      </w:r>
      <w:proofErr w:type="gramEnd"/>
      <w:r>
        <w:rPr>
          <w:sz w:val="24"/>
        </w:rPr>
        <w:t>≤3/60) (CVI partial and severe visual impairment) at 52 and 100</w:t>
      </w:r>
      <w:r>
        <w:rPr>
          <w:spacing w:val="-7"/>
          <w:sz w:val="24"/>
        </w:rPr>
        <w:t xml:space="preserve"> </w:t>
      </w:r>
      <w:r>
        <w:rPr>
          <w:sz w:val="24"/>
        </w:rPr>
        <w:t>weeks.</w:t>
      </w:r>
    </w:p>
    <w:p w:rsidR="00B0268C" w:rsidRDefault="00C408FB">
      <w:pPr>
        <w:pStyle w:val="ListParagraph"/>
        <w:numPr>
          <w:ilvl w:val="1"/>
          <w:numId w:val="15"/>
        </w:numPr>
        <w:tabs>
          <w:tab w:val="left" w:pos="834"/>
        </w:tabs>
        <w:ind w:right="112"/>
        <w:jc w:val="both"/>
        <w:rPr>
          <w:sz w:val="24"/>
        </w:rPr>
      </w:pPr>
      <w:r>
        <w:rPr>
          <w:sz w:val="24"/>
        </w:rPr>
        <w:t>Participants with OCT CST &lt;320µm (</w:t>
      </w:r>
      <w:proofErr w:type="spellStart"/>
      <w:r>
        <w:rPr>
          <w:sz w:val="24"/>
        </w:rPr>
        <w:t>Spectralis</w:t>
      </w:r>
      <w:proofErr w:type="spellEnd"/>
      <w:r>
        <w:rPr>
          <w:sz w:val="24"/>
        </w:rPr>
        <w:t xml:space="preserve"> or refer to protocol appendix 1) </w:t>
      </w:r>
      <w:proofErr w:type="gramStart"/>
      <w:r>
        <w:rPr>
          <w:sz w:val="24"/>
        </w:rPr>
        <w:t>at  52</w:t>
      </w:r>
      <w:proofErr w:type="gramEnd"/>
      <w:r>
        <w:rPr>
          <w:sz w:val="24"/>
        </w:rPr>
        <w:t xml:space="preserve"> and 100 weeks (key guide to subsequent NHS clinical</w:t>
      </w:r>
      <w:r>
        <w:rPr>
          <w:spacing w:val="-3"/>
          <w:sz w:val="24"/>
        </w:rPr>
        <w:t xml:space="preserve"> </w:t>
      </w:r>
      <w:r>
        <w:rPr>
          <w:sz w:val="24"/>
        </w:rPr>
        <w:t>practice).</w:t>
      </w:r>
    </w:p>
    <w:p w:rsidR="00B0268C" w:rsidRDefault="00C408FB">
      <w:pPr>
        <w:pStyle w:val="ListParagraph"/>
        <w:numPr>
          <w:ilvl w:val="1"/>
          <w:numId w:val="15"/>
        </w:numPr>
        <w:tabs>
          <w:tab w:val="left" w:pos="834"/>
        </w:tabs>
        <w:ind w:right="113"/>
        <w:jc w:val="both"/>
        <w:rPr>
          <w:sz w:val="24"/>
        </w:rPr>
      </w:pPr>
      <w:r>
        <w:rPr>
          <w:sz w:val="24"/>
        </w:rPr>
        <w:t xml:space="preserve">Participants with the anatomical OCT features: diffuse </w:t>
      </w:r>
      <w:proofErr w:type="spellStart"/>
      <w:r>
        <w:rPr>
          <w:sz w:val="24"/>
        </w:rPr>
        <w:t>intraretinal</w:t>
      </w:r>
      <w:proofErr w:type="spellEnd"/>
      <w:r>
        <w:rPr>
          <w:sz w:val="24"/>
        </w:rPr>
        <w:t xml:space="preserve"> oedema, </w:t>
      </w:r>
      <w:proofErr w:type="spellStart"/>
      <w:r>
        <w:rPr>
          <w:sz w:val="24"/>
        </w:rPr>
        <w:t>intraretinal</w:t>
      </w:r>
      <w:proofErr w:type="spellEnd"/>
      <w:r>
        <w:rPr>
          <w:sz w:val="24"/>
        </w:rPr>
        <w:t xml:space="preserve"> cystic change, </w:t>
      </w:r>
      <w:proofErr w:type="spellStart"/>
      <w:proofErr w:type="gramStart"/>
      <w:r>
        <w:rPr>
          <w:sz w:val="24"/>
        </w:rPr>
        <w:t>subretinal</w:t>
      </w:r>
      <w:proofErr w:type="spellEnd"/>
      <w:proofErr w:type="gramEnd"/>
      <w:r>
        <w:rPr>
          <w:sz w:val="24"/>
        </w:rPr>
        <w:t xml:space="preserve"> fluid, </w:t>
      </w:r>
      <w:proofErr w:type="spellStart"/>
      <w:r>
        <w:rPr>
          <w:sz w:val="24"/>
        </w:rPr>
        <w:t>vitreomacular</w:t>
      </w:r>
      <w:proofErr w:type="spellEnd"/>
      <w:r>
        <w:rPr>
          <w:sz w:val="24"/>
        </w:rPr>
        <w:t xml:space="preserve"> interface </w:t>
      </w:r>
      <w:proofErr w:type="spellStart"/>
      <w:r>
        <w:rPr>
          <w:sz w:val="24"/>
        </w:rPr>
        <w:t>abnormaility</w:t>
      </w:r>
      <w:proofErr w:type="spellEnd"/>
      <w:r>
        <w:rPr>
          <w:sz w:val="24"/>
        </w:rPr>
        <w:t xml:space="preserve"> (either VMT or ERM) over time and at 100 weeks.</w:t>
      </w:r>
    </w:p>
    <w:p w:rsidR="00B0268C" w:rsidRDefault="00B0268C">
      <w:pPr>
        <w:pStyle w:val="BodyText"/>
      </w:pPr>
    </w:p>
    <w:p w:rsidR="00B0268C" w:rsidRDefault="00C408FB">
      <w:pPr>
        <w:pStyle w:val="ListParagraph"/>
        <w:numPr>
          <w:ilvl w:val="0"/>
          <w:numId w:val="15"/>
        </w:numPr>
        <w:tabs>
          <w:tab w:val="left" w:pos="729"/>
        </w:tabs>
        <w:ind w:left="728" w:hanging="255"/>
        <w:jc w:val="left"/>
        <w:rPr>
          <w:sz w:val="24"/>
        </w:rPr>
      </w:pPr>
      <w:r>
        <w:rPr>
          <w:sz w:val="24"/>
          <w:u w:val="single"/>
        </w:rPr>
        <w:t>Safety and</w:t>
      </w:r>
      <w:r>
        <w:rPr>
          <w:spacing w:val="-5"/>
          <w:sz w:val="24"/>
          <w:u w:val="single"/>
        </w:rPr>
        <w:t xml:space="preserve"> </w:t>
      </w:r>
      <w:r>
        <w:rPr>
          <w:sz w:val="24"/>
          <w:u w:val="single"/>
        </w:rPr>
        <w:t>tolerability</w:t>
      </w:r>
    </w:p>
    <w:p w:rsidR="00B0268C" w:rsidRDefault="00C408FB">
      <w:pPr>
        <w:pStyle w:val="ListParagraph"/>
        <w:numPr>
          <w:ilvl w:val="0"/>
          <w:numId w:val="14"/>
        </w:numPr>
        <w:tabs>
          <w:tab w:val="left" w:pos="834"/>
        </w:tabs>
        <w:rPr>
          <w:sz w:val="24"/>
        </w:rPr>
      </w:pPr>
      <w:r>
        <w:rPr>
          <w:sz w:val="24"/>
        </w:rPr>
        <w:t>Prevalence of local and systemic side effects at 100 weeks.</w:t>
      </w:r>
    </w:p>
    <w:p w:rsidR="00B0268C" w:rsidRDefault="00C408FB">
      <w:pPr>
        <w:pStyle w:val="ListParagraph"/>
        <w:numPr>
          <w:ilvl w:val="0"/>
          <w:numId w:val="14"/>
        </w:numPr>
        <w:tabs>
          <w:tab w:val="left" w:pos="834"/>
        </w:tabs>
        <w:ind w:right="109"/>
        <w:rPr>
          <w:sz w:val="24"/>
        </w:rPr>
      </w:pPr>
      <w:r>
        <w:rPr>
          <w:sz w:val="24"/>
        </w:rPr>
        <w:t>Participants that are persistent non-responders (section 8.14.7 of the protocol) and that develop anterior and posterior segment neovascularisation at 100</w:t>
      </w:r>
      <w:r>
        <w:rPr>
          <w:spacing w:val="-1"/>
          <w:sz w:val="24"/>
        </w:rPr>
        <w:t xml:space="preserve"> </w:t>
      </w:r>
      <w:r>
        <w:rPr>
          <w:sz w:val="24"/>
        </w:rPr>
        <w:t>weeks.</w:t>
      </w:r>
    </w:p>
    <w:p w:rsidR="00B0268C" w:rsidRDefault="00B0268C">
      <w:pPr>
        <w:pStyle w:val="BodyText"/>
        <w:spacing w:before="4"/>
      </w:pPr>
    </w:p>
    <w:p w:rsidR="00B0268C" w:rsidRDefault="00C408FB">
      <w:pPr>
        <w:pStyle w:val="Heading2"/>
        <w:numPr>
          <w:ilvl w:val="1"/>
          <w:numId w:val="18"/>
        </w:numPr>
        <w:tabs>
          <w:tab w:val="left" w:pos="518"/>
        </w:tabs>
        <w:ind w:left="517" w:hanging="404"/>
        <w:jc w:val="left"/>
      </w:pPr>
      <w:bookmarkStart w:id="31" w:name="_bookmark31"/>
      <w:bookmarkEnd w:id="31"/>
      <w:r>
        <w:t>Timing of</w:t>
      </w:r>
      <w:r>
        <w:rPr>
          <w:spacing w:val="-1"/>
        </w:rPr>
        <w:t xml:space="preserve"> </w:t>
      </w:r>
      <w:r>
        <w:t>measures</w:t>
      </w:r>
    </w:p>
    <w:p w:rsidR="00B0268C" w:rsidRDefault="00B0268C">
      <w:pPr>
        <w:pStyle w:val="BodyText"/>
        <w:spacing w:before="10"/>
        <w:rPr>
          <w:rFonts w:ascii="Arial"/>
          <w:b/>
          <w:sz w:val="27"/>
        </w:rPr>
      </w:pPr>
    </w:p>
    <w:p w:rsidR="00B0268C" w:rsidRDefault="00C408FB">
      <w:pPr>
        <w:pStyle w:val="BodyText"/>
        <w:ind w:left="114"/>
      </w:pPr>
      <w:r>
        <w:t>A full schedule on the timing of measures is provided in below:</w:t>
      </w:r>
    </w:p>
    <w:p w:rsidR="00B0268C" w:rsidRDefault="00B0268C">
      <w:pPr>
        <w:sectPr w:rsidR="00B0268C">
          <w:pgSz w:w="11910" w:h="16840"/>
          <w:pgMar w:top="1040" w:right="1360" w:bottom="1660" w:left="1360" w:header="712" w:footer="1457" w:gutter="0"/>
          <w:cols w:space="720"/>
        </w:sectPr>
      </w:pPr>
    </w:p>
    <w:p w:rsidR="00B0268C" w:rsidRDefault="00C408FB">
      <w:pPr>
        <w:pStyle w:val="BodyText"/>
        <w:spacing w:before="77"/>
        <w:ind w:left="1013"/>
        <w:rPr>
          <w:rFonts w:ascii="Arial"/>
        </w:rPr>
      </w:pPr>
      <w:r>
        <w:rPr>
          <w:rFonts w:ascii="Arial"/>
        </w:rPr>
        <w:lastRenderedPageBreak/>
        <w:t>LEAVO Statistical Analysis Plan</w:t>
      </w:r>
    </w:p>
    <w:p w:rsidR="00B0268C" w:rsidRDefault="00B0268C">
      <w:pPr>
        <w:pStyle w:val="BodyText"/>
        <w:rPr>
          <w:rFonts w:ascii="Arial"/>
          <w:sz w:val="20"/>
        </w:rPr>
      </w:pPr>
    </w:p>
    <w:p w:rsidR="00B0268C" w:rsidRDefault="00B0268C">
      <w:pPr>
        <w:pStyle w:val="BodyText"/>
        <w:rPr>
          <w:rFonts w:ascii="Arial"/>
          <w:sz w:val="20"/>
        </w:rPr>
      </w:pPr>
    </w:p>
    <w:p w:rsidR="00B0268C" w:rsidRDefault="00B0268C">
      <w:pPr>
        <w:pStyle w:val="BodyText"/>
        <w:rPr>
          <w:rFonts w:ascii="Arial"/>
          <w:sz w:val="20"/>
        </w:rPr>
      </w:pPr>
    </w:p>
    <w:p w:rsidR="00B0268C" w:rsidRDefault="00B0268C">
      <w:pPr>
        <w:pStyle w:val="BodyText"/>
        <w:spacing w:before="10"/>
        <w:rPr>
          <w:rFonts w:ascii="Arial"/>
          <w:sz w:val="28"/>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1023"/>
        <w:gridCol w:w="680"/>
        <w:gridCol w:w="850"/>
        <w:gridCol w:w="711"/>
        <w:gridCol w:w="850"/>
        <w:gridCol w:w="850"/>
        <w:gridCol w:w="852"/>
        <w:gridCol w:w="850"/>
        <w:gridCol w:w="850"/>
        <w:gridCol w:w="852"/>
        <w:gridCol w:w="850"/>
        <w:gridCol w:w="852"/>
        <w:gridCol w:w="737"/>
        <w:gridCol w:w="849"/>
        <w:gridCol w:w="823"/>
        <w:gridCol w:w="991"/>
      </w:tblGrid>
      <w:tr w:rsidR="00B0268C">
        <w:trPr>
          <w:trHeight w:val="851"/>
        </w:trPr>
        <w:tc>
          <w:tcPr>
            <w:tcW w:w="2235" w:type="dxa"/>
          </w:tcPr>
          <w:p w:rsidR="00B0268C" w:rsidRDefault="00C408FB">
            <w:pPr>
              <w:pStyle w:val="TableParagraph"/>
              <w:ind w:left="107" w:right="275"/>
              <w:rPr>
                <w:rFonts w:ascii="Arial"/>
                <w:sz w:val="16"/>
              </w:rPr>
            </w:pPr>
            <w:r>
              <w:rPr>
                <w:rFonts w:ascii="Arial"/>
                <w:sz w:val="16"/>
              </w:rPr>
              <w:t>^Mandatory Visits: Loading (</w:t>
            </w:r>
            <w:proofErr w:type="spellStart"/>
            <w:r>
              <w:rPr>
                <w:rFonts w:ascii="Arial"/>
                <w:sz w:val="16"/>
              </w:rPr>
              <w:t>wk</w:t>
            </w:r>
            <w:proofErr w:type="spellEnd"/>
            <w:r>
              <w:rPr>
                <w:rFonts w:ascii="Arial"/>
                <w:sz w:val="16"/>
              </w:rPr>
              <w:t xml:space="preserve"> 4 &amp; 8) &amp; Milestones (baseline, </w:t>
            </w:r>
            <w:proofErr w:type="spellStart"/>
            <w:r>
              <w:rPr>
                <w:rFonts w:ascii="Arial"/>
                <w:sz w:val="16"/>
              </w:rPr>
              <w:t>wks</w:t>
            </w:r>
            <w:proofErr w:type="spellEnd"/>
            <w:r>
              <w:rPr>
                <w:rFonts w:ascii="Arial"/>
                <w:sz w:val="16"/>
              </w:rPr>
              <w:t xml:space="preserve"> 12, 24, 52, 76, 100)</w:t>
            </w:r>
          </w:p>
        </w:tc>
        <w:tc>
          <w:tcPr>
            <w:tcW w:w="1023" w:type="dxa"/>
            <w:shd w:val="clear" w:color="auto" w:fill="D9D9D9"/>
          </w:tcPr>
          <w:p w:rsidR="00B0268C" w:rsidRDefault="00B0268C">
            <w:pPr>
              <w:pStyle w:val="TableParagraph"/>
              <w:rPr>
                <w:rFonts w:ascii="Arial"/>
                <w:sz w:val="18"/>
              </w:rPr>
            </w:pPr>
          </w:p>
          <w:p w:rsidR="00B0268C" w:rsidRDefault="00C408FB">
            <w:pPr>
              <w:pStyle w:val="TableParagraph"/>
              <w:spacing w:before="122"/>
              <w:ind w:left="129" w:right="123"/>
              <w:jc w:val="center"/>
              <w:rPr>
                <w:rFonts w:ascii="Arial"/>
                <w:sz w:val="16"/>
              </w:rPr>
            </w:pPr>
            <w:r>
              <w:rPr>
                <w:rFonts w:ascii="Arial"/>
                <w:sz w:val="16"/>
              </w:rPr>
              <w:t>Screening</w:t>
            </w:r>
          </w:p>
        </w:tc>
        <w:tc>
          <w:tcPr>
            <w:tcW w:w="680" w:type="dxa"/>
            <w:shd w:val="clear" w:color="auto" w:fill="D9D9D9"/>
          </w:tcPr>
          <w:p w:rsidR="00B0268C" w:rsidRDefault="00B0268C">
            <w:pPr>
              <w:pStyle w:val="TableParagraph"/>
              <w:spacing w:before="8"/>
              <w:rPr>
                <w:rFonts w:ascii="Arial"/>
                <w:sz w:val="20"/>
              </w:rPr>
            </w:pPr>
          </w:p>
          <w:p w:rsidR="00B0268C" w:rsidRDefault="00C408FB">
            <w:pPr>
              <w:pStyle w:val="TableParagraph"/>
              <w:ind w:left="248" w:right="96" w:hanging="130"/>
              <w:rPr>
                <w:rFonts w:ascii="Arial"/>
                <w:sz w:val="16"/>
              </w:rPr>
            </w:pPr>
            <w:proofErr w:type="spellStart"/>
            <w:r>
              <w:rPr>
                <w:rFonts w:ascii="Arial"/>
                <w:sz w:val="16"/>
              </w:rPr>
              <w:t>Baseli</w:t>
            </w:r>
            <w:proofErr w:type="spellEnd"/>
            <w:r>
              <w:rPr>
                <w:rFonts w:ascii="Arial"/>
                <w:sz w:val="16"/>
              </w:rPr>
              <w:t xml:space="preserve"> ne</w:t>
            </w:r>
          </w:p>
        </w:tc>
        <w:tc>
          <w:tcPr>
            <w:tcW w:w="850" w:type="dxa"/>
          </w:tcPr>
          <w:p w:rsidR="00B0268C" w:rsidRDefault="00B0268C">
            <w:pPr>
              <w:pStyle w:val="TableParagraph"/>
              <w:spacing w:before="8"/>
              <w:rPr>
                <w:rFonts w:ascii="Arial"/>
                <w:sz w:val="20"/>
              </w:rPr>
            </w:pPr>
          </w:p>
          <w:p w:rsidR="00B0268C" w:rsidRDefault="00C408FB">
            <w:pPr>
              <w:pStyle w:val="TableParagraph"/>
              <w:ind w:left="401" w:right="193" w:hanging="183"/>
              <w:rPr>
                <w:rFonts w:ascii="Arial"/>
                <w:sz w:val="16"/>
              </w:rPr>
            </w:pPr>
            <w:r>
              <w:rPr>
                <w:rFonts w:ascii="Arial"/>
                <w:sz w:val="16"/>
              </w:rPr>
              <w:t>Week 4</w:t>
            </w:r>
          </w:p>
        </w:tc>
        <w:tc>
          <w:tcPr>
            <w:tcW w:w="711" w:type="dxa"/>
          </w:tcPr>
          <w:p w:rsidR="00B0268C" w:rsidRDefault="00B0268C">
            <w:pPr>
              <w:pStyle w:val="TableParagraph"/>
              <w:spacing w:before="8"/>
              <w:rPr>
                <w:rFonts w:ascii="Arial"/>
                <w:sz w:val="20"/>
              </w:rPr>
            </w:pPr>
          </w:p>
          <w:p w:rsidR="00B0268C" w:rsidRDefault="00C408FB">
            <w:pPr>
              <w:pStyle w:val="TableParagraph"/>
              <w:ind w:left="307" w:right="127" w:hanging="162"/>
              <w:rPr>
                <w:rFonts w:ascii="Arial"/>
                <w:sz w:val="16"/>
              </w:rPr>
            </w:pPr>
            <w:r>
              <w:rPr>
                <w:rFonts w:ascii="Arial"/>
                <w:sz w:val="16"/>
              </w:rPr>
              <w:t>Week 8</w:t>
            </w:r>
          </w:p>
        </w:tc>
        <w:tc>
          <w:tcPr>
            <w:tcW w:w="850" w:type="dxa"/>
            <w:shd w:val="clear" w:color="auto" w:fill="D9D9D9"/>
          </w:tcPr>
          <w:p w:rsidR="00B0268C" w:rsidRDefault="00B0268C">
            <w:pPr>
              <w:pStyle w:val="TableParagraph"/>
              <w:spacing w:before="8"/>
              <w:rPr>
                <w:rFonts w:ascii="Arial"/>
                <w:sz w:val="20"/>
              </w:rPr>
            </w:pPr>
          </w:p>
          <w:p w:rsidR="00B0268C" w:rsidRDefault="00C408FB">
            <w:pPr>
              <w:pStyle w:val="TableParagraph"/>
              <w:ind w:left="352" w:right="196" w:hanging="137"/>
              <w:rPr>
                <w:rFonts w:ascii="Arial"/>
                <w:sz w:val="16"/>
              </w:rPr>
            </w:pPr>
            <w:r>
              <w:rPr>
                <w:rFonts w:ascii="Arial"/>
                <w:sz w:val="16"/>
              </w:rPr>
              <w:t>Week 12</w:t>
            </w:r>
          </w:p>
        </w:tc>
        <w:tc>
          <w:tcPr>
            <w:tcW w:w="850" w:type="dxa"/>
          </w:tcPr>
          <w:p w:rsidR="00B0268C" w:rsidRDefault="00B0268C">
            <w:pPr>
              <w:pStyle w:val="TableParagraph"/>
              <w:spacing w:before="8"/>
              <w:rPr>
                <w:rFonts w:ascii="Arial"/>
                <w:sz w:val="20"/>
              </w:rPr>
            </w:pPr>
          </w:p>
          <w:p w:rsidR="00B0268C" w:rsidRDefault="00C408FB">
            <w:pPr>
              <w:pStyle w:val="TableParagraph"/>
              <w:ind w:left="357" w:right="194" w:hanging="140"/>
              <w:rPr>
                <w:rFonts w:ascii="Arial"/>
                <w:sz w:val="16"/>
              </w:rPr>
            </w:pPr>
            <w:r>
              <w:rPr>
                <w:rFonts w:ascii="Arial"/>
                <w:sz w:val="16"/>
              </w:rPr>
              <w:t>Week 16</w:t>
            </w:r>
          </w:p>
        </w:tc>
        <w:tc>
          <w:tcPr>
            <w:tcW w:w="852" w:type="dxa"/>
          </w:tcPr>
          <w:p w:rsidR="00B0268C" w:rsidRDefault="00B0268C">
            <w:pPr>
              <w:pStyle w:val="TableParagraph"/>
              <w:spacing w:before="8"/>
              <w:rPr>
                <w:rFonts w:ascii="Arial"/>
                <w:sz w:val="20"/>
              </w:rPr>
            </w:pPr>
          </w:p>
          <w:p w:rsidR="00B0268C" w:rsidRDefault="00C408FB">
            <w:pPr>
              <w:pStyle w:val="TableParagraph"/>
              <w:ind w:left="354" w:right="196" w:hanging="137"/>
              <w:rPr>
                <w:rFonts w:ascii="Arial"/>
                <w:sz w:val="16"/>
              </w:rPr>
            </w:pPr>
            <w:r>
              <w:rPr>
                <w:rFonts w:ascii="Arial"/>
                <w:sz w:val="16"/>
              </w:rPr>
              <w:t>Week 20</w:t>
            </w:r>
          </w:p>
        </w:tc>
        <w:tc>
          <w:tcPr>
            <w:tcW w:w="850" w:type="dxa"/>
            <w:shd w:val="clear" w:color="auto" w:fill="D9D9D9"/>
          </w:tcPr>
          <w:p w:rsidR="00B0268C" w:rsidRDefault="00B0268C">
            <w:pPr>
              <w:pStyle w:val="TableParagraph"/>
              <w:spacing w:before="8"/>
              <w:rPr>
                <w:rFonts w:ascii="Arial"/>
                <w:sz w:val="20"/>
              </w:rPr>
            </w:pPr>
          </w:p>
          <w:p w:rsidR="00B0268C" w:rsidRDefault="00C408FB">
            <w:pPr>
              <w:pStyle w:val="TableParagraph"/>
              <w:ind w:left="354" w:right="197" w:hanging="140"/>
              <w:rPr>
                <w:rFonts w:ascii="Arial"/>
                <w:sz w:val="16"/>
              </w:rPr>
            </w:pPr>
            <w:r>
              <w:rPr>
                <w:rFonts w:ascii="Arial"/>
                <w:sz w:val="16"/>
              </w:rPr>
              <w:t>Week 24</w:t>
            </w: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spacing w:before="8"/>
              <w:rPr>
                <w:rFonts w:ascii="Arial"/>
                <w:sz w:val="20"/>
              </w:rPr>
            </w:pPr>
          </w:p>
          <w:p w:rsidR="00B0268C" w:rsidRDefault="00C408FB">
            <w:pPr>
              <w:pStyle w:val="TableParagraph"/>
              <w:ind w:left="356" w:right="197" w:hanging="140"/>
              <w:rPr>
                <w:rFonts w:ascii="Arial"/>
                <w:sz w:val="16"/>
              </w:rPr>
            </w:pPr>
            <w:r>
              <w:rPr>
                <w:rFonts w:ascii="Arial"/>
                <w:sz w:val="16"/>
              </w:rPr>
              <w:t>Week 52</w:t>
            </w: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spacing w:before="8"/>
              <w:rPr>
                <w:rFonts w:ascii="Arial"/>
                <w:sz w:val="20"/>
              </w:rPr>
            </w:pPr>
          </w:p>
          <w:p w:rsidR="00B0268C" w:rsidRDefault="00C408FB">
            <w:pPr>
              <w:pStyle w:val="TableParagraph"/>
              <w:ind w:left="356" w:right="197" w:hanging="140"/>
              <w:rPr>
                <w:rFonts w:ascii="Arial"/>
                <w:sz w:val="16"/>
              </w:rPr>
            </w:pPr>
            <w:r>
              <w:rPr>
                <w:rFonts w:ascii="Arial"/>
                <w:sz w:val="16"/>
              </w:rPr>
              <w:t>Week 76</w:t>
            </w:r>
          </w:p>
        </w:tc>
        <w:tc>
          <w:tcPr>
            <w:tcW w:w="737" w:type="dxa"/>
          </w:tcPr>
          <w:p w:rsidR="00B0268C" w:rsidRDefault="00B0268C">
            <w:pPr>
              <w:pStyle w:val="TableParagraph"/>
              <w:rPr>
                <w:sz w:val="16"/>
              </w:rPr>
            </w:pPr>
          </w:p>
        </w:tc>
        <w:tc>
          <w:tcPr>
            <w:tcW w:w="849" w:type="dxa"/>
            <w:shd w:val="clear" w:color="auto" w:fill="D9D9D9"/>
          </w:tcPr>
          <w:p w:rsidR="00B0268C" w:rsidRDefault="00B0268C">
            <w:pPr>
              <w:pStyle w:val="TableParagraph"/>
              <w:spacing w:before="8"/>
              <w:rPr>
                <w:rFonts w:ascii="Arial"/>
                <w:sz w:val="20"/>
              </w:rPr>
            </w:pPr>
          </w:p>
          <w:p w:rsidR="00B0268C" w:rsidRDefault="00C408FB">
            <w:pPr>
              <w:pStyle w:val="TableParagraph"/>
              <w:ind w:left="289" w:right="131" w:hanging="135"/>
              <w:rPr>
                <w:rFonts w:ascii="Arial"/>
                <w:sz w:val="16"/>
              </w:rPr>
            </w:pPr>
            <w:r>
              <w:rPr>
                <w:rFonts w:ascii="Arial"/>
                <w:sz w:val="16"/>
              </w:rPr>
              <w:t>**Week 100</w:t>
            </w:r>
          </w:p>
        </w:tc>
        <w:tc>
          <w:tcPr>
            <w:tcW w:w="823" w:type="dxa"/>
          </w:tcPr>
          <w:p w:rsidR="00B0268C" w:rsidRDefault="00B0268C">
            <w:pPr>
              <w:pStyle w:val="TableParagraph"/>
              <w:spacing w:before="8"/>
              <w:rPr>
                <w:rFonts w:ascii="Arial"/>
                <w:sz w:val="20"/>
              </w:rPr>
            </w:pPr>
          </w:p>
          <w:p w:rsidR="00B0268C" w:rsidRDefault="00C408FB">
            <w:pPr>
              <w:pStyle w:val="TableParagraph"/>
              <w:ind w:left="234" w:right="138" w:hanging="77"/>
              <w:rPr>
                <w:rFonts w:ascii="Arial"/>
                <w:sz w:val="16"/>
              </w:rPr>
            </w:pPr>
            <w:proofErr w:type="spellStart"/>
            <w:r>
              <w:rPr>
                <w:rFonts w:ascii="Arial"/>
                <w:sz w:val="16"/>
              </w:rPr>
              <w:t>Unsch</w:t>
            </w:r>
            <w:proofErr w:type="spellEnd"/>
            <w:r>
              <w:rPr>
                <w:rFonts w:ascii="Arial"/>
                <w:sz w:val="16"/>
              </w:rPr>
              <w:t>. Visit.</w:t>
            </w:r>
          </w:p>
        </w:tc>
        <w:tc>
          <w:tcPr>
            <w:tcW w:w="991" w:type="dxa"/>
            <w:shd w:val="clear" w:color="auto" w:fill="D9D9D9"/>
          </w:tcPr>
          <w:p w:rsidR="00B0268C" w:rsidRDefault="00C408FB">
            <w:pPr>
              <w:pStyle w:val="TableParagraph"/>
              <w:spacing w:before="145"/>
              <w:ind w:left="340" w:right="133" w:hanging="188"/>
              <w:rPr>
                <w:rFonts w:ascii="Arial"/>
                <w:sz w:val="16"/>
              </w:rPr>
            </w:pPr>
            <w:r>
              <w:rPr>
                <w:rFonts w:ascii="Arial"/>
                <w:sz w:val="16"/>
              </w:rPr>
              <w:t>**</w:t>
            </w:r>
            <w:proofErr w:type="spellStart"/>
            <w:r>
              <w:rPr>
                <w:rFonts w:ascii="Arial"/>
                <w:sz w:val="16"/>
              </w:rPr>
              <w:t>Withdra</w:t>
            </w:r>
            <w:proofErr w:type="spellEnd"/>
            <w:r>
              <w:rPr>
                <w:rFonts w:ascii="Arial"/>
                <w:sz w:val="16"/>
              </w:rPr>
              <w:t xml:space="preserve"> </w:t>
            </w:r>
            <w:proofErr w:type="spellStart"/>
            <w:r>
              <w:rPr>
                <w:rFonts w:ascii="Arial"/>
                <w:sz w:val="16"/>
              </w:rPr>
              <w:t>wal</w:t>
            </w:r>
            <w:proofErr w:type="spellEnd"/>
            <w:r>
              <w:rPr>
                <w:rFonts w:ascii="Arial"/>
                <w:sz w:val="16"/>
              </w:rPr>
              <w:t xml:space="preserve"> Visit</w:t>
            </w:r>
          </w:p>
        </w:tc>
      </w:tr>
      <w:tr w:rsidR="00B0268C">
        <w:trPr>
          <w:trHeight w:val="426"/>
        </w:trPr>
        <w:tc>
          <w:tcPr>
            <w:tcW w:w="2235" w:type="dxa"/>
          </w:tcPr>
          <w:p w:rsidR="00B0268C" w:rsidRDefault="00C408FB">
            <w:pPr>
              <w:pStyle w:val="TableParagraph"/>
              <w:spacing w:before="116"/>
              <w:ind w:left="107"/>
              <w:rPr>
                <w:rFonts w:ascii="Arial"/>
                <w:sz w:val="16"/>
              </w:rPr>
            </w:pPr>
            <w:r>
              <w:rPr>
                <w:rFonts w:ascii="Arial"/>
                <w:sz w:val="16"/>
              </w:rPr>
              <w:t>Variable treatment visits</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C408FB">
            <w:pPr>
              <w:pStyle w:val="TableParagraph"/>
              <w:spacing w:before="25"/>
              <w:ind w:left="108" w:right="104"/>
              <w:jc w:val="center"/>
              <w:rPr>
                <w:rFonts w:ascii="Arial"/>
                <w:sz w:val="16"/>
              </w:rPr>
            </w:pPr>
            <w:r>
              <w:rPr>
                <w:rFonts w:ascii="Arial"/>
                <w:sz w:val="16"/>
              </w:rPr>
              <w:t>4-8</w:t>
            </w:r>
          </w:p>
          <w:p w:rsidR="00B0268C" w:rsidRDefault="00C408FB">
            <w:pPr>
              <w:pStyle w:val="TableParagraph"/>
              <w:ind w:left="106" w:right="105"/>
              <w:jc w:val="center"/>
              <w:rPr>
                <w:rFonts w:ascii="Arial"/>
                <w:sz w:val="16"/>
              </w:rPr>
            </w:pPr>
            <w:r>
              <w:rPr>
                <w:rFonts w:ascii="Arial"/>
                <w:sz w:val="16"/>
              </w:rPr>
              <w:t>weekly</w:t>
            </w:r>
          </w:p>
        </w:tc>
        <w:tc>
          <w:tcPr>
            <w:tcW w:w="852" w:type="dxa"/>
            <w:shd w:val="clear" w:color="auto" w:fill="D9D9D9"/>
          </w:tcPr>
          <w:p w:rsidR="00B0268C" w:rsidRDefault="00B0268C">
            <w:pPr>
              <w:pStyle w:val="TableParagraph"/>
              <w:rPr>
                <w:sz w:val="16"/>
              </w:rPr>
            </w:pPr>
          </w:p>
        </w:tc>
        <w:tc>
          <w:tcPr>
            <w:tcW w:w="850" w:type="dxa"/>
          </w:tcPr>
          <w:p w:rsidR="00B0268C" w:rsidRDefault="00C408FB">
            <w:pPr>
              <w:pStyle w:val="TableParagraph"/>
              <w:spacing w:before="25"/>
              <w:ind w:left="108" w:right="105"/>
              <w:jc w:val="center"/>
              <w:rPr>
                <w:rFonts w:ascii="Arial"/>
                <w:sz w:val="16"/>
              </w:rPr>
            </w:pPr>
            <w:r>
              <w:rPr>
                <w:rFonts w:ascii="Arial"/>
                <w:sz w:val="16"/>
              </w:rPr>
              <w:t>4-8</w:t>
            </w:r>
          </w:p>
          <w:p w:rsidR="00B0268C" w:rsidRDefault="00C408FB">
            <w:pPr>
              <w:pStyle w:val="TableParagraph"/>
              <w:ind w:left="105" w:right="105"/>
              <w:jc w:val="center"/>
              <w:rPr>
                <w:rFonts w:ascii="Arial"/>
                <w:sz w:val="16"/>
              </w:rPr>
            </w:pPr>
            <w:r>
              <w:rPr>
                <w:rFonts w:ascii="Arial"/>
                <w:sz w:val="16"/>
              </w:rPr>
              <w:t>weekly</w:t>
            </w:r>
          </w:p>
        </w:tc>
        <w:tc>
          <w:tcPr>
            <w:tcW w:w="852" w:type="dxa"/>
            <w:shd w:val="clear" w:color="auto" w:fill="D9D9D9"/>
          </w:tcPr>
          <w:p w:rsidR="00B0268C" w:rsidRDefault="00B0268C">
            <w:pPr>
              <w:pStyle w:val="TableParagraph"/>
              <w:rPr>
                <w:sz w:val="16"/>
              </w:rPr>
            </w:pPr>
          </w:p>
        </w:tc>
        <w:tc>
          <w:tcPr>
            <w:tcW w:w="737" w:type="dxa"/>
          </w:tcPr>
          <w:p w:rsidR="00B0268C" w:rsidRDefault="00C408FB">
            <w:pPr>
              <w:pStyle w:val="TableParagraph"/>
              <w:spacing w:before="25"/>
              <w:ind w:left="96" w:right="97"/>
              <w:jc w:val="center"/>
              <w:rPr>
                <w:rFonts w:ascii="Arial"/>
                <w:sz w:val="16"/>
              </w:rPr>
            </w:pPr>
            <w:r>
              <w:rPr>
                <w:rFonts w:ascii="Arial"/>
                <w:sz w:val="16"/>
              </w:rPr>
              <w:t>4-8</w:t>
            </w:r>
          </w:p>
          <w:p w:rsidR="00B0268C" w:rsidRDefault="00C408FB">
            <w:pPr>
              <w:pStyle w:val="TableParagraph"/>
              <w:ind w:left="96" w:right="100"/>
              <w:jc w:val="center"/>
              <w:rPr>
                <w:rFonts w:ascii="Arial"/>
                <w:sz w:val="16"/>
              </w:rPr>
            </w:pPr>
            <w:r>
              <w:rPr>
                <w:rFonts w:ascii="Arial"/>
                <w:sz w:val="16"/>
              </w:rPr>
              <w:t>weekly</w:t>
            </w:r>
          </w:p>
        </w:tc>
        <w:tc>
          <w:tcPr>
            <w:tcW w:w="849" w:type="dxa"/>
            <w:shd w:val="clear" w:color="auto" w:fill="D9D9D9"/>
          </w:tcPr>
          <w:p w:rsidR="00B0268C" w:rsidRDefault="00B0268C">
            <w:pPr>
              <w:pStyle w:val="TableParagraph"/>
              <w:rPr>
                <w:sz w:val="16"/>
              </w:rPr>
            </w:pPr>
          </w:p>
        </w:tc>
        <w:tc>
          <w:tcPr>
            <w:tcW w:w="823" w:type="dxa"/>
          </w:tcPr>
          <w:p w:rsidR="00B0268C" w:rsidRDefault="00B0268C">
            <w:pPr>
              <w:pStyle w:val="TableParagraph"/>
              <w:rPr>
                <w:sz w:val="16"/>
              </w:rPr>
            </w:pPr>
          </w:p>
        </w:tc>
        <w:tc>
          <w:tcPr>
            <w:tcW w:w="991" w:type="dxa"/>
            <w:shd w:val="clear" w:color="auto" w:fill="D9D9D9"/>
          </w:tcPr>
          <w:p w:rsidR="00B0268C" w:rsidRDefault="00B0268C">
            <w:pPr>
              <w:pStyle w:val="TableParagraph"/>
              <w:rPr>
                <w:sz w:val="16"/>
              </w:rPr>
            </w:pPr>
          </w:p>
        </w:tc>
      </w:tr>
      <w:tr w:rsidR="00B0268C">
        <w:trPr>
          <w:trHeight w:val="305"/>
        </w:trPr>
        <w:tc>
          <w:tcPr>
            <w:tcW w:w="2235" w:type="dxa"/>
          </w:tcPr>
          <w:p w:rsidR="00B0268C" w:rsidRDefault="00C408FB">
            <w:pPr>
              <w:pStyle w:val="TableParagraph"/>
              <w:spacing w:before="56"/>
              <w:ind w:left="107"/>
              <w:rPr>
                <w:rFonts w:ascii="Arial"/>
                <w:sz w:val="16"/>
              </w:rPr>
            </w:pPr>
            <w:r>
              <w:rPr>
                <w:rFonts w:ascii="Arial"/>
                <w:sz w:val="16"/>
              </w:rPr>
              <w:t>Weeks</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C408FB">
            <w:pPr>
              <w:pStyle w:val="TableParagraph"/>
              <w:spacing w:before="116" w:line="168" w:lineRule="exact"/>
              <w:ind w:left="7"/>
              <w:jc w:val="center"/>
              <w:rPr>
                <w:rFonts w:ascii="Arial"/>
                <w:sz w:val="16"/>
              </w:rPr>
            </w:pPr>
            <w:r>
              <w:rPr>
                <w:rFonts w:ascii="Arial"/>
                <w:sz w:val="16"/>
              </w:rPr>
              <w:t>0</w:t>
            </w:r>
          </w:p>
        </w:tc>
        <w:tc>
          <w:tcPr>
            <w:tcW w:w="850" w:type="dxa"/>
          </w:tcPr>
          <w:p w:rsidR="00B0268C" w:rsidRDefault="00C408FB">
            <w:pPr>
              <w:pStyle w:val="TableParagraph"/>
              <w:spacing w:before="116" w:line="168" w:lineRule="exact"/>
              <w:ind w:left="4"/>
              <w:jc w:val="center"/>
              <w:rPr>
                <w:rFonts w:ascii="Arial"/>
                <w:sz w:val="16"/>
              </w:rPr>
            </w:pPr>
            <w:r>
              <w:rPr>
                <w:rFonts w:ascii="Arial"/>
                <w:sz w:val="16"/>
              </w:rPr>
              <w:t>4</w:t>
            </w:r>
          </w:p>
        </w:tc>
        <w:tc>
          <w:tcPr>
            <w:tcW w:w="711" w:type="dxa"/>
          </w:tcPr>
          <w:p w:rsidR="00B0268C" w:rsidRDefault="00C408FB">
            <w:pPr>
              <w:pStyle w:val="TableParagraph"/>
              <w:spacing w:before="116" w:line="168" w:lineRule="exact"/>
              <w:ind w:left="4"/>
              <w:jc w:val="center"/>
              <w:rPr>
                <w:rFonts w:ascii="Arial"/>
                <w:sz w:val="16"/>
              </w:rPr>
            </w:pPr>
            <w:r>
              <w:rPr>
                <w:rFonts w:ascii="Arial"/>
                <w:sz w:val="16"/>
              </w:rPr>
              <w:t>8</w:t>
            </w:r>
          </w:p>
        </w:tc>
        <w:tc>
          <w:tcPr>
            <w:tcW w:w="850" w:type="dxa"/>
            <w:shd w:val="clear" w:color="auto" w:fill="D9D9D9"/>
          </w:tcPr>
          <w:p w:rsidR="00B0268C" w:rsidRDefault="00C408FB">
            <w:pPr>
              <w:pStyle w:val="TableParagraph"/>
              <w:spacing w:before="116" w:line="168" w:lineRule="exact"/>
              <w:ind w:left="105" w:right="105"/>
              <w:jc w:val="center"/>
              <w:rPr>
                <w:rFonts w:ascii="Arial"/>
                <w:sz w:val="16"/>
              </w:rPr>
            </w:pPr>
            <w:r>
              <w:rPr>
                <w:rFonts w:ascii="Arial"/>
                <w:sz w:val="16"/>
              </w:rPr>
              <w:t>12</w:t>
            </w:r>
          </w:p>
        </w:tc>
        <w:tc>
          <w:tcPr>
            <w:tcW w:w="850" w:type="dxa"/>
          </w:tcPr>
          <w:p w:rsidR="00B0268C" w:rsidRDefault="00C408FB">
            <w:pPr>
              <w:pStyle w:val="TableParagraph"/>
              <w:spacing w:before="116" w:line="168" w:lineRule="exact"/>
              <w:ind w:left="108" w:right="104"/>
              <w:jc w:val="center"/>
              <w:rPr>
                <w:rFonts w:ascii="Arial"/>
                <w:sz w:val="16"/>
              </w:rPr>
            </w:pPr>
            <w:r>
              <w:rPr>
                <w:rFonts w:ascii="Arial"/>
                <w:sz w:val="16"/>
              </w:rPr>
              <w:t>16</w:t>
            </w:r>
          </w:p>
        </w:tc>
        <w:tc>
          <w:tcPr>
            <w:tcW w:w="852" w:type="dxa"/>
          </w:tcPr>
          <w:p w:rsidR="00B0268C" w:rsidRDefault="00C408FB">
            <w:pPr>
              <w:pStyle w:val="TableParagraph"/>
              <w:spacing w:before="116" w:line="168" w:lineRule="exact"/>
              <w:ind w:left="332"/>
              <w:rPr>
                <w:rFonts w:ascii="Arial"/>
                <w:sz w:val="16"/>
              </w:rPr>
            </w:pPr>
            <w:r>
              <w:rPr>
                <w:rFonts w:ascii="Arial"/>
                <w:sz w:val="16"/>
              </w:rPr>
              <w:t>20</w:t>
            </w:r>
          </w:p>
        </w:tc>
        <w:tc>
          <w:tcPr>
            <w:tcW w:w="850" w:type="dxa"/>
            <w:shd w:val="clear" w:color="auto" w:fill="D9D9D9"/>
          </w:tcPr>
          <w:p w:rsidR="00B0268C" w:rsidRDefault="00C408FB">
            <w:pPr>
              <w:pStyle w:val="TableParagraph"/>
              <w:spacing w:before="116" w:line="168" w:lineRule="exact"/>
              <w:ind w:left="104" w:right="105"/>
              <w:jc w:val="center"/>
              <w:rPr>
                <w:rFonts w:ascii="Arial"/>
                <w:sz w:val="16"/>
              </w:rPr>
            </w:pPr>
            <w:r>
              <w:rPr>
                <w:rFonts w:ascii="Arial"/>
                <w:sz w:val="16"/>
              </w:rPr>
              <w:t>24</w:t>
            </w:r>
          </w:p>
        </w:tc>
        <w:tc>
          <w:tcPr>
            <w:tcW w:w="850" w:type="dxa"/>
          </w:tcPr>
          <w:p w:rsidR="00B0268C" w:rsidRDefault="00C408FB">
            <w:pPr>
              <w:pStyle w:val="TableParagraph"/>
              <w:spacing w:before="116" w:line="168" w:lineRule="exact"/>
              <w:ind w:left="104" w:right="105"/>
              <w:jc w:val="center"/>
              <w:rPr>
                <w:rFonts w:ascii="Arial"/>
                <w:sz w:val="16"/>
              </w:rPr>
            </w:pPr>
            <w:r>
              <w:rPr>
                <w:rFonts w:ascii="Arial"/>
                <w:sz w:val="16"/>
              </w:rPr>
              <w:t>28-48</w:t>
            </w:r>
          </w:p>
        </w:tc>
        <w:tc>
          <w:tcPr>
            <w:tcW w:w="852" w:type="dxa"/>
            <w:shd w:val="clear" w:color="auto" w:fill="D9D9D9"/>
          </w:tcPr>
          <w:p w:rsidR="00B0268C" w:rsidRDefault="00C408FB">
            <w:pPr>
              <w:pStyle w:val="TableParagraph"/>
              <w:spacing w:before="116" w:line="168" w:lineRule="exact"/>
              <w:ind w:left="332"/>
              <w:rPr>
                <w:rFonts w:ascii="Arial"/>
                <w:sz w:val="16"/>
              </w:rPr>
            </w:pPr>
            <w:r>
              <w:rPr>
                <w:rFonts w:ascii="Arial"/>
                <w:sz w:val="16"/>
              </w:rPr>
              <w:t>52</w:t>
            </w:r>
          </w:p>
        </w:tc>
        <w:tc>
          <w:tcPr>
            <w:tcW w:w="850" w:type="dxa"/>
          </w:tcPr>
          <w:p w:rsidR="00B0268C" w:rsidRDefault="00C408FB">
            <w:pPr>
              <w:pStyle w:val="TableParagraph"/>
              <w:spacing w:before="116" w:line="168" w:lineRule="exact"/>
              <w:ind w:left="104" w:right="105"/>
              <w:jc w:val="center"/>
              <w:rPr>
                <w:rFonts w:ascii="Arial"/>
                <w:sz w:val="16"/>
              </w:rPr>
            </w:pPr>
            <w:r>
              <w:rPr>
                <w:rFonts w:ascii="Arial"/>
                <w:sz w:val="16"/>
              </w:rPr>
              <w:t>56-72</w:t>
            </w:r>
          </w:p>
        </w:tc>
        <w:tc>
          <w:tcPr>
            <w:tcW w:w="852" w:type="dxa"/>
            <w:shd w:val="clear" w:color="auto" w:fill="D9D9D9"/>
          </w:tcPr>
          <w:p w:rsidR="00B0268C" w:rsidRDefault="00C408FB">
            <w:pPr>
              <w:pStyle w:val="TableParagraph"/>
              <w:spacing w:before="116" w:line="168" w:lineRule="exact"/>
              <w:ind w:left="332"/>
              <w:rPr>
                <w:rFonts w:ascii="Arial"/>
                <w:sz w:val="16"/>
              </w:rPr>
            </w:pPr>
            <w:r>
              <w:rPr>
                <w:rFonts w:ascii="Arial"/>
                <w:sz w:val="16"/>
              </w:rPr>
              <w:t>76</w:t>
            </w:r>
          </w:p>
        </w:tc>
        <w:tc>
          <w:tcPr>
            <w:tcW w:w="737" w:type="dxa"/>
          </w:tcPr>
          <w:p w:rsidR="00B0268C" w:rsidRDefault="00C408FB">
            <w:pPr>
              <w:pStyle w:val="TableParagraph"/>
              <w:spacing w:before="116" w:line="168" w:lineRule="exact"/>
              <w:ind w:left="96" w:right="98"/>
              <w:jc w:val="center"/>
              <w:rPr>
                <w:rFonts w:ascii="Arial"/>
                <w:sz w:val="16"/>
              </w:rPr>
            </w:pPr>
            <w:r>
              <w:rPr>
                <w:rFonts w:ascii="Arial"/>
                <w:sz w:val="16"/>
              </w:rPr>
              <w:t>80-96</w:t>
            </w:r>
          </w:p>
        </w:tc>
        <w:tc>
          <w:tcPr>
            <w:tcW w:w="849" w:type="dxa"/>
            <w:shd w:val="clear" w:color="auto" w:fill="D9D9D9"/>
          </w:tcPr>
          <w:p w:rsidR="00B0268C" w:rsidRDefault="00C408FB">
            <w:pPr>
              <w:pStyle w:val="TableParagraph"/>
              <w:spacing w:before="116" w:line="168" w:lineRule="exact"/>
              <w:ind w:left="197" w:right="191"/>
              <w:jc w:val="center"/>
              <w:rPr>
                <w:rFonts w:ascii="Arial"/>
                <w:sz w:val="16"/>
              </w:rPr>
            </w:pPr>
            <w:r>
              <w:rPr>
                <w:rFonts w:ascii="Arial"/>
                <w:sz w:val="16"/>
              </w:rPr>
              <w:t>100</w:t>
            </w:r>
          </w:p>
        </w:tc>
        <w:tc>
          <w:tcPr>
            <w:tcW w:w="823" w:type="dxa"/>
          </w:tcPr>
          <w:p w:rsidR="00B0268C" w:rsidRDefault="00C408FB">
            <w:pPr>
              <w:pStyle w:val="TableParagraph"/>
              <w:spacing w:before="116" w:line="168" w:lineRule="exact"/>
              <w:ind w:left="141" w:right="137"/>
              <w:jc w:val="center"/>
              <w:rPr>
                <w:rFonts w:ascii="Arial"/>
                <w:sz w:val="16"/>
              </w:rPr>
            </w:pPr>
            <w:r>
              <w:rPr>
                <w:rFonts w:ascii="Arial"/>
                <w:sz w:val="16"/>
              </w:rPr>
              <w:t>1-99</w:t>
            </w:r>
          </w:p>
        </w:tc>
        <w:tc>
          <w:tcPr>
            <w:tcW w:w="991" w:type="dxa"/>
            <w:shd w:val="clear" w:color="auto" w:fill="D9D9D9"/>
          </w:tcPr>
          <w:p w:rsidR="00B0268C" w:rsidRDefault="00C408FB">
            <w:pPr>
              <w:pStyle w:val="TableParagraph"/>
              <w:spacing w:before="116" w:line="168" w:lineRule="exact"/>
              <w:ind w:left="266" w:right="264"/>
              <w:jc w:val="center"/>
              <w:rPr>
                <w:rFonts w:ascii="Arial"/>
                <w:sz w:val="16"/>
              </w:rPr>
            </w:pPr>
            <w:r>
              <w:rPr>
                <w:rFonts w:ascii="Arial"/>
                <w:sz w:val="16"/>
              </w:rPr>
              <w:t>13-97</w:t>
            </w:r>
          </w:p>
        </w:tc>
      </w:tr>
      <w:tr w:rsidR="00B0268C">
        <w:trPr>
          <w:trHeight w:val="369"/>
        </w:trPr>
        <w:tc>
          <w:tcPr>
            <w:tcW w:w="2235" w:type="dxa"/>
          </w:tcPr>
          <w:p w:rsidR="00B0268C" w:rsidRDefault="00C408FB">
            <w:pPr>
              <w:pStyle w:val="TableParagraph"/>
              <w:spacing w:before="89"/>
              <w:ind w:left="107"/>
              <w:rPr>
                <w:rFonts w:ascii="Arial"/>
                <w:sz w:val="16"/>
              </w:rPr>
            </w:pPr>
            <w:r>
              <w:rPr>
                <w:rFonts w:ascii="Arial"/>
                <w:sz w:val="16"/>
              </w:rPr>
              <w:t>Visit window (days)</w:t>
            </w:r>
          </w:p>
        </w:tc>
        <w:tc>
          <w:tcPr>
            <w:tcW w:w="1023" w:type="dxa"/>
            <w:shd w:val="clear" w:color="auto" w:fill="D9D9D9"/>
          </w:tcPr>
          <w:p w:rsidR="00B0268C" w:rsidRDefault="00C408FB">
            <w:pPr>
              <w:pStyle w:val="TableParagraph"/>
              <w:spacing w:before="89"/>
              <w:ind w:left="129" w:right="123"/>
              <w:jc w:val="center"/>
              <w:rPr>
                <w:rFonts w:ascii="Arial"/>
                <w:sz w:val="16"/>
              </w:rPr>
            </w:pPr>
            <w:r>
              <w:rPr>
                <w:rFonts w:ascii="Arial"/>
                <w:sz w:val="16"/>
              </w:rPr>
              <w:t>-10 to 0</w:t>
            </w:r>
          </w:p>
        </w:tc>
        <w:tc>
          <w:tcPr>
            <w:tcW w:w="680" w:type="dxa"/>
            <w:shd w:val="clear" w:color="auto" w:fill="D9D9D9"/>
          </w:tcPr>
          <w:p w:rsidR="00B0268C" w:rsidRDefault="00C408FB">
            <w:pPr>
              <w:pStyle w:val="TableParagraph"/>
              <w:spacing w:before="89"/>
              <w:ind w:left="7"/>
              <w:jc w:val="center"/>
              <w:rPr>
                <w:rFonts w:ascii="Arial"/>
                <w:sz w:val="16"/>
              </w:rPr>
            </w:pPr>
            <w:r>
              <w:rPr>
                <w:rFonts w:ascii="Arial"/>
                <w:sz w:val="16"/>
              </w:rPr>
              <w:t>0</w:t>
            </w:r>
          </w:p>
        </w:tc>
        <w:tc>
          <w:tcPr>
            <w:tcW w:w="850" w:type="dxa"/>
          </w:tcPr>
          <w:p w:rsidR="00B0268C" w:rsidRDefault="00C408FB">
            <w:pPr>
              <w:pStyle w:val="TableParagraph"/>
              <w:spacing w:before="89"/>
              <w:ind w:left="108" w:right="102"/>
              <w:jc w:val="center"/>
              <w:rPr>
                <w:rFonts w:ascii="Arial"/>
                <w:sz w:val="16"/>
              </w:rPr>
            </w:pPr>
            <w:r>
              <w:rPr>
                <w:rFonts w:ascii="Arial"/>
                <w:sz w:val="16"/>
              </w:rPr>
              <w:t>0 to +14</w:t>
            </w:r>
          </w:p>
        </w:tc>
        <w:tc>
          <w:tcPr>
            <w:tcW w:w="711" w:type="dxa"/>
          </w:tcPr>
          <w:p w:rsidR="00B0268C" w:rsidRDefault="00C408FB">
            <w:pPr>
              <w:pStyle w:val="TableParagraph"/>
              <w:spacing w:line="180" w:lineRule="exact"/>
              <w:ind w:left="216"/>
              <w:rPr>
                <w:rFonts w:ascii="Arial"/>
                <w:sz w:val="16"/>
              </w:rPr>
            </w:pPr>
            <w:r>
              <w:rPr>
                <w:rFonts w:ascii="Arial"/>
                <w:sz w:val="16"/>
              </w:rPr>
              <w:t>0</w:t>
            </w:r>
            <w:r>
              <w:rPr>
                <w:rFonts w:ascii="Arial"/>
                <w:spacing w:val="1"/>
                <w:sz w:val="16"/>
              </w:rPr>
              <w:t xml:space="preserve"> </w:t>
            </w:r>
            <w:r>
              <w:rPr>
                <w:rFonts w:ascii="Arial"/>
                <w:sz w:val="16"/>
              </w:rPr>
              <w:t>to</w:t>
            </w:r>
          </w:p>
          <w:p w:rsidR="00B0268C" w:rsidRDefault="00C408FB">
            <w:pPr>
              <w:pStyle w:val="TableParagraph"/>
              <w:spacing w:before="1" w:line="168" w:lineRule="exact"/>
              <w:ind w:left="216"/>
              <w:rPr>
                <w:rFonts w:ascii="Arial"/>
                <w:sz w:val="16"/>
              </w:rPr>
            </w:pPr>
            <w:r>
              <w:rPr>
                <w:rFonts w:ascii="Arial"/>
                <w:sz w:val="16"/>
              </w:rPr>
              <w:t>+14</w:t>
            </w:r>
          </w:p>
        </w:tc>
        <w:tc>
          <w:tcPr>
            <w:tcW w:w="850" w:type="dxa"/>
            <w:shd w:val="clear" w:color="auto" w:fill="D9D9D9"/>
          </w:tcPr>
          <w:p w:rsidR="00B0268C" w:rsidRDefault="00C408FB">
            <w:pPr>
              <w:pStyle w:val="TableParagraph"/>
              <w:spacing w:before="149"/>
              <w:ind w:left="105" w:right="105"/>
              <w:jc w:val="center"/>
              <w:rPr>
                <w:rFonts w:ascii="Arial"/>
                <w:sz w:val="16"/>
              </w:rPr>
            </w:pPr>
            <w:r>
              <w:rPr>
                <w:rFonts w:ascii="Arial"/>
                <w:sz w:val="16"/>
              </w:rPr>
              <w:t>0 to +14</w:t>
            </w:r>
          </w:p>
        </w:tc>
        <w:tc>
          <w:tcPr>
            <w:tcW w:w="850" w:type="dxa"/>
          </w:tcPr>
          <w:p w:rsidR="00B0268C" w:rsidRDefault="00C408FB">
            <w:pPr>
              <w:pStyle w:val="TableParagraph"/>
              <w:spacing w:line="180" w:lineRule="exact"/>
              <w:ind w:left="108" w:right="101"/>
              <w:jc w:val="center"/>
              <w:rPr>
                <w:rFonts w:ascii="Arial"/>
                <w:sz w:val="16"/>
              </w:rPr>
            </w:pPr>
            <w:r>
              <w:rPr>
                <w:rFonts w:ascii="Arial"/>
                <w:sz w:val="16"/>
              </w:rPr>
              <w:t>-14 to</w:t>
            </w:r>
          </w:p>
          <w:p w:rsidR="00B0268C" w:rsidRDefault="00C408FB">
            <w:pPr>
              <w:pStyle w:val="TableParagraph"/>
              <w:spacing w:before="1" w:line="168" w:lineRule="exact"/>
              <w:ind w:left="108" w:right="101"/>
              <w:jc w:val="center"/>
              <w:rPr>
                <w:rFonts w:ascii="Arial"/>
                <w:sz w:val="16"/>
              </w:rPr>
            </w:pPr>
            <w:r>
              <w:rPr>
                <w:rFonts w:ascii="Arial"/>
                <w:sz w:val="16"/>
              </w:rPr>
              <w:t>+14</w:t>
            </w:r>
          </w:p>
        </w:tc>
        <w:tc>
          <w:tcPr>
            <w:tcW w:w="852" w:type="dxa"/>
          </w:tcPr>
          <w:p w:rsidR="00B0268C" w:rsidRDefault="00C408FB">
            <w:pPr>
              <w:pStyle w:val="TableParagraph"/>
              <w:spacing w:line="180" w:lineRule="exact"/>
              <w:ind w:left="194" w:right="194"/>
              <w:jc w:val="center"/>
              <w:rPr>
                <w:rFonts w:ascii="Arial"/>
                <w:sz w:val="16"/>
              </w:rPr>
            </w:pPr>
            <w:r>
              <w:rPr>
                <w:rFonts w:ascii="Arial"/>
                <w:sz w:val="16"/>
              </w:rPr>
              <w:t>-14 to</w:t>
            </w:r>
          </w:p>
          <w:p w:rsidR="00B0268C" w:rsidRDefault="00C408FB">
            <w:pPr>
              <w:pStyle w:val="TableParagraph"/>
              <w:spacing w:before="1" w:line="168" w:lineRule="exact"/>
              <w:ind w:left="194" w:right="194"/>
              <w:jc w:val="center"/>
              <w:rPr>
                <w:rFonts w:ascii="Arial"/>
                <w:sz w:val="16"/>
              </w:rPr>
            </w:pPr>
            <w:r>
              <w:rPr>
                <w:rFonts w:ascii="Arial"/>
                <w:sz w:val="16"/>
              </w:rPr>
              <w:t>+14</w:t>
            </w:r>
          </w:p>
        </w:tc>
        <w:tc>
          <w:tcPr>
            <w:tcW w:w="850" w:type="dxa"/>
            <w:shd w:val="clear" w:color="auto" w:fill="D9D9D9"/>
          </w:tcPr>
          <w:p w:rsidR="00B0268C" w:rsidRDefault="00C408FB">
            <w:pPr>
              <w:pStyle w:val="TableParagraph"/>
              <w:spacing w:line="180" w:lineRule="exact"/>
              <w:ind w:left="106" w:right="105"/>
              <w:jc w:val="center"/>
              <w:rPr>
                <w:rFonts w:ascii="Arial"/>
                <w:sz w:val="16"/>
              </w:rPr>
            </w:pPr>
            <w:r>
              <w:rPr>
                <w:rFonts w:ascii="Arial"/>
                <w:sz w:val="16"/>
              </w:rPr>
              <w:t>-14 to</w:t>
            </w:r>
          </w:p>
          <w:p w:rsidR="00B0268C" w:rsidRDefault="00C408FB">
            <w:pPr>
              <w:pStyle w:val="TableParagraph"/>
              <w:spacing w:before="1" w:line="168" w:lineRule="exact"/>
              <w:ind w:left="106" w:right="105"/>
              <w:jc w:val="center"/>
              <w:rPr>
                <w:rFonts w:ascii="Arial"/>
                <w:sz w:val="16"/>
              </w:rPr>
            </w:pPr>
            <w:r>
              <w:rPr>
                <w:rFonts w:ascii="Arial"/>
                <w:sz w:val="16"/>
              </w:rPr>
              <w:t>+14</w:t>
            </w:r>
          </w:p>
        </w:tc>
        <w:tc>
          <w:tcPr>
            <w:tcW w:w="850" w:type="dxa"/>
          </w:tcPr>
          <w:p w:rsidR="00B0268C" w:rsidRDefault="00C408FB">
            <w:pPr>
              <w:pStyle w:val="TableParagraph"/>
              <w:spacing w:line="180" w:lineRule="exact"/>
              <w:ind w:left="106" w:right="105"/>
              <w:jc w:val="center"/>
              <w:rPr>
                <w:rFonts w:ascii="Arial"/>
                <w:sz w:val="16"/>
              </w:rPr>
            </w:pPr>
            <w:r>
              <w:rPr>
                <w:rFonts w:ascii="Arial"/>
                <w:sz w:val="16"/>
              </w:rPr>
              <w:t>-14 to</w:t>
            </w:r>
          </w:p>
          <w:p w:rsidR="00B0268C" w:rsidRDefault="00C408FB">
            <w:pPr>
              <w:pStyle w:val="TableParagraph"/>
              <w:spacing w:before="1" w:line="168" w:lineRule="exact"/>
              <w:ind w:left="106" w:right="105"/>
              <w:jc w:val="center"/>
              <w:rPr>
                <w:rFonts w:ascii="Arial"/>
                <w:sz w:val="16"/>
              </w:rPr>
            </w:pPr>
            <w:r>
              <w:rPr>
                <w:rFonts w:ascii="Arial"/>
                <w:sz w:val="16"/>
              </w:rPr>
              <w:t>+14</w:t>
            </w:r>
          </w:p>
        </w:tc>
        <w:tc>
          <w:tcPr>
            <w:tcW w:w="852" w:type="dxa"/>
            <w:shd w:val="clear" w:color="auto" w:fill="D9D9D9"/>
          </w:tcPr>
          <w:p w:rsidR="00B0268C" w:rsidRDefault="00C408FB">
            <w:pPr>
              <w:pStyle w:val="TableParagraph"/>
              <w:spacing w:line="180" w:lineRule="exact"/>
              <w:ind w:left="196" w:right="193"/>
              <w:jc w:val="center"/>
              <w:rPr>
                <w:rFonts w:ascii="Arial"/>
                <w:sz w:val="16"/>
              </w:rPr>
            </w:pPr>
            <w:r>
              <w:rPr>
                <w:rFonts w:ascii="Arial"/>
                <w:sz w:val="16"/>
              </w:rPr>
              <w:t>-14 to</w:t>
            </w:r>
          </w:p>
          <w:p w:rsidR="00B0268C" w:rsidRDefault="00C408FB">
            <w:pPr>
              <w:pStyle w:val="TableParagraph"/>
              <w:spacing w:before="1" w:line="168" w:lineRule="exact"/>
              <w:ind w:left="196" w:right="193"/>
              <w:jc w:val="center"/>
              <w:rPr>
                <w:rFonts w:ascii="Arial"/>
                <w:sz w:val="16"/>
              </w:rPr>
            </w:pPr>
            <w:r>
              <w:rPr>
                <w:rFonts w:ascii="Arial"/>
                <w:sz w:val="16"/>
              </w:rPr>
              <w:t>+14</w:t>
            </w:r>
          </w:p>
        </w:tc>
        <w:tc>
          <w:tcPr>
            <w:tcW w:w="850" w:type="dxa"/>
          </w:tcPr>
          <w:p w:rsidR="00B0268C" w:rsidRDefault="00C408FB">
            <w:pPr>
              <w:pStyle w:val="TableParagraph"/>
              <w:spacing w:line="180" w:lineRule="exact"/>
              <w:ind w:left="105" w:right="105"/>
              <w:jc w:val="center"/>
              <w:rPr>
                <w:rFonts w:ascii="Arial"/>
                <w:sz w:val="16"/>
              </w:rPr>
            </w:pPr>
            <w:r>
              <w:rPr>
                <w:rFonts w:ascii="Arial"/>
                <w:sz w:val="16"/>
              </w:rPr>
              <w:t>-14 to</w:t>
            </w:r>
          </w:p>
          <w:p w:rsidR="00B0268C" w:rsidRDefault="00C408FB">
            <w:pPr>
              <w:pStyle w:val="TableParagraph"/>
              <w:spacing w:before="1" w:line="168" w:lineRule="exact"/>
              <w:ind w:left="105" w:right="105"/>
              <w:jc w:val="center"/>
              <w:rPr>
                <w:rFonts w:ascii="Arial"/>
                <w:sz w:val="16"/>
              </w:rPr>
            </w:pPr>
            <w:r>
              <w:rPr>
                <w:rFonts w:ascii="Arial"/>
                <w:sz w:val="16"/>
              </w:rPr>
              <w:t>+14</w:t>
            </w:r>
          </w:p>
        </w:tc>
        <w:tc>
          <w:tcPr>
            <w:tcW w:w="852" w:type="dxa"/>
            <w:shd w:val="clear" w:color="auto" w:fill="D9D9D9"/>
          </w:tcPr>
          <w:p w:rsidR="00B0268C" w:rsidRDefault="00C408FB">
            <w:pPr>
              <w:pStyle w:val="TableParagraph"/>
              <w:spacing w:line="180" w:lineRule="exact"/>
              <w:ind w:left="196" w:right="194"/>
              <w:jc w:val="center"/>
              <w:rPr>
                <w:rFonts w:ascii="Arial"/>
                <w:sz w:val="16"/>
              </w:rPr>
            </w:pPr>
            <w:r>
              <w:rPr>
                <w:rFonts w:ascii="Arial"/>
                <w:sz w:val="16"/>
              </w:rPr>
              <w:t>-14 to</w:t>
            </w:r>
          </w:p>
          <w:p w:rsidR="00B0268C" w:rsidRDefault="00C408FB">
            <w:pPr>
              <w:pStyle w:val="TableParagraph"/>
              <w:spacing w:before="1" w:line="168" w:lineRule="exact"/>
              <w:ind w:left="196" w:right="194"/>
              <w:jc w:val="center"/>
              <w:rPr>
                <w:rFonts w:ascii="Arial"/>
                <w:sz w:val="16"/>
              </w:rPr>
            </w:pPr>
            <w:r>
              <w:rPr>
                <w:rFonts w:ascii="Arial"/>
                <w:sz w:val="16"/>
              </w:rPr>
              <w:t>+14</w:t>
            </w:r>
          </w:p>
        </w:tc>
        <w:tc>
          <w:tcPr>
            <w:tcW w:w="737" w:type="dxa"/>
          </w:tcPr>
          <w:p w:rsidR="00B0268C" w:rsidRDefault="00C408FB">
            <w:pPr>
              <w:pStyle w:val="TableParagraph"/>
              <w:spacing w:line="180" w:lineRule="exact"/>
              <w:ind w:left="156"/>
              <w:rPr>
                <w:rFonts w:ascii="Arial"/>
                <w:sz w:val="16"/>
              </w:rPr>
            </w:pPr>
            <w:r>
              <w:rPr>
                <w:rFonts w:ascii="Arial"/>
                <w:sz w:val="16"/>
              </w:rPr>
              <w:t>-14 to</w:t>
            </w:r>
          </w:p>
          <w:p w:rsidR="00B0268C" w:rsidRDefault="00C408FB">
            <w:pPr>
              <w:pStyle w:val="TableParagraph"/>
              <w:spacing w:before="1" w:line="168" w:lineRule="exact"/>
              <w:ind w:left="226"/>
              <w:rPr>
                <w:rFonts w:ascii="Arial"/>
                <w:sz w:val="16"/>
              </w:rPr>
            </w:pPr>
            <w:r>
              <w:rPr>
                <w:rFonts w:ascii="Arial"/>
                <w:sz w:val="16"/>
              </w:rPr>
              <w:t>+14</w:t>
            </w:r>
          </w:p>
        </w:tc>
        <w:tc>
          <w:tcPr>
            <w:tcW w:w="849" w:type="dxa"/>
            <w:shd w:val="clear" w:color="auto" w:fill="D9D9D9"/>
          </w:tcPr>
          <w:p w:rsidR="00B0268C" w:rsidRDefault="00C408FB">
            <w:pPr>
              <w:pStyle w:val="TableParagraph"/>
              <w:spacing w:line="180" w:lineRule="exact"/>
              <w:ind w:left="197" w:right="191"/>
              <w:jc w:val="center"/>
              <w:rPr>
                <w:rFonts w:ascii="Arial"/>
                <w:sz w:val="16"/>
              </w:rPr>
            </w:pPr>
            <w:r>
              <w:rPr>
                <w:rFonts w:ascii="Arial"/>
                <w:sz w:val="16"/>
              </w:rPr>
              <w:t>-14 to</w:t>
            </w:r>
          </w:p>
          <w:p w:rsidR="00B0268C" w:rsidRDefault="00C408FB">
            <w:pPr>
              <w:pStyle w:val="TableParagraph"/>
              <w:spacing w:before="1" w:line="168" w:lineRule="exact"/>
              <w:ind w:left="197" w:right="191"/>
              <w:jc w:val="center"/>
              <w:rPr>
                <w:rFonts w:ascii="Arial"/>
                <w:sz w:val="16"/>
              </w:rPr>
            </w:pPr>
            <w:r>
              <w:rPr>
                <w:rFonts w:ascii="Arial"/>
                <w:sz w:val="16"/>
              </w:rPr>
              <w:t>+14</w:t>
            </w:r>
          </w:p>
        </w:tc>
        <w:tc>
          <w:tcPr>
            <w:tcW w:w="823" w:type="dxa"/>
          </w:tcPr>
          <w:p w:rsidR="00B0268C" w:rsidRDefault="00B0268C">
            <w:pPr>
              <w:pStyle w:val="TableParagraph"/>
              <w:rPr>
                <w:sz w:val="16"/>
              </w:rPr>
            </w:pPr>
          </w:p>
        </w:tc>
        <w:tc>
          <w:tcPr>
            <w:tcW w:w="991" w:type="dxa"/>
            <w:shd w:val="clear" w:color="auto" w:fill="D9D9D9"/>
          </w:tcPr>
          <w:p w:rsidR="00B0268C" w:rsidRDefault="00B0268C">
            <w:pPr>
              <w:pStyle w:val="TableParagraph"/>
              <w:rPr>
                <w:sz w:val="16"/>
              </w:rPr>
            </w:pPr>
          </w:p>
        </w:tc>
      </w:tr>
      <w:tr w:rsidR="00B0268C">
        <w:trPr>
          <w:trHeight w:val="184"/>
        </w:trPr>
        <w:tc>
          <w:tcPr>
            <w:tcW w:w="2235" w:type="dxa"/>
          </w:tcPr>
          <w:p w:rsidR="00B0268C" w:rsidRDefault="00C408FB">
            <w:pPr>
              <w:pStyle w:val="TableParagraph"/>
              <w:spacing w:line="164" w:lineRule="exact"/>
              <w:ind w:left="107"/>
              <w:rPr>
                <w:rFonts w:ascii="Arial"/>
                <w:sz w:val="16"/>
              </w:rPr>
            </w:pPr>
            <w:r>
              <w:rPr>
                <w:rFonts w:ascii="Arial"/>
                <w:sz w:val="16"/>
              </w:rPr>
              <w:t>Informed Consent</w:t>
            </w:r>
          </w:p>
        </w:tc>
        <w:tc>
          <w:tcPr>
            <w:tcW w:w="1023" w:type="dxa"/>
            <w:shd w:val="clear" w:color="auto" w:fill="D9D9D9"/>
          </w:tcPr>
          <w:p w:rsidR="00B0268C" w:rsidRDefault="00C408FB">
            <w:pPr>
              <w:pStyle w:val="TableParagraph"/>
              <w:spacing w:line="164" w:lineRule="exact"/>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711" w:type="dxa"/>
          </w:tcPr>
          <w:p w:rsidR="00B0268C" w:rsidRDefault="00B0268C">
            <w:pPr>
              <w:pStyle w:val="TableParagraph"/>
              <w:rPr>
                <w:sz w:val="12"/>
              </w:rPr>
            </w:pPr>
          </w:p>
        </w:tc>
        <w:tc>
          <w:tcPr>
            <w:tcW w:w="850"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tcPr>
          <w:p w:rsidR="00B0268C" w:rsidRDefault="00B0268C">
            <w:pPr>
              <w:pStyle w:val="TableParagraph"/>
              <w:rPr>
                <w:sz w:val="12"/>
              </w:rPr>
            </w:pPr>
          </w:p>
        </w:tc>
        <w:tc>
          <w:tcPr>
            <w:tcW w:w="850"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shd w:val="clear" w:color="auto" w:fill="D9D9D9"/>
          </w:tcPr>
          <w:p w:rsidR="00B0268C" w:rsidRDefault="00B0268C">
            <w:pPr>
              <w:pStyle w:val="TableParagraph"/>
              <w:rPr>
                <w:sz w:val="12"/>
              </w:rPr>
            </w:pPr>
          </w:p>
        </w:tc>
        <w:tc>
          <w:tcPr>
            <w:tcW w:w="737" w:type="dxa"/>
          </w:tcPr>
          <w:p w:rsidR="00B0268C" w:rsidRDefault="00B0268C">
            <w:pPr>
              <w:pStyle w:val="TableParagraph"/>
              <w:rPr>
                <w:sz w:val="12"/>
              </w:rPr>
            </w:pPr>
          </w:p>
        </w:tc>
        <w:tc>
          <w:tcPr>
            <w:tcW w:w="849" w:type="dxa"/>
            <w:shd w:val="clear" w:color="auto" w:fill="D9D9D9"/>
          </w:tcPr>
          <w:p w:rsidR="00B0268C" w:rsidRDefault="00B0268C">
            <w:pPr>
              <w:pStyle w:val="TableParagraph"/>
              <w:rPr>
                <w:sz w:val="12"/>
              </w:rPr>
            </w:pPr>
          </w:p>
        </w:tc>
        <w:tc>
          <w:tcPr>
            <w:tcW w:w="823" w:type="dxa"/>
          </w:tcPr>
          <w:p w:rsidR="00B0268C" w:rsidRDefault="00B0268C">
            <w:pPr>
              <w:pStyle w:val="TableParagraph"/>
              <w:rPr>
                <w:sz w:val="12"/>
              </w:rPr>
            </w:pPr>
          </w:p>
        </w:tc>
        <w:tc>
          <w:tcPr>
            <w:tcW w:w="991" w:type="dxa"/>
            <w:shd w:val="clear" w:color="auto" w:fill="D9D9D9"/>
          </w:tcPr>
          <w:p w:rsidR="00B0268C" w:rsidRDefault="00B0268C">
            <w:pPr>
              <w:pStyle w:val="TableParagraph"/>
              <w:rPr>
                <w:sz w:val="12"/>
              </w:rPr>
            </w:pPr>
          </w:p>
        </w:tc>
      </w:tr>
      <w:tr w:rsidR="00B0268C">
        <w:trPr>
          <w:trHeight w:val="366"/>
        </w:trPr>
        <w:tc>
          <w:tcPr>
            <w:tcW w:w="2235" w:type="dxa"/>
          </w:tcPr>
          <w:p w:rsidR="00B0268C" w:rsidRDefault="00C408FB">
            <w:pPr>
              <w:pStyle w:val="TableParagraph"/>
              <w:spacing w:line="182" w:lineRule="exact"/>
              <w:ind w:left="107" w:right="177"/>
              <w:rPr>
                <w:rFonts w:ascii="Arial"/>
                <w:sz w:val="16"/>
              </w:rPr>
            </w:pPr>
            <w:r>
              <w:rPr>
                <w:rFonts w:ascii="Arial"/>
                <w:sz w:val="16"/>
              </w:rPr>
              <w:t>Inclusion/Exclusion Criteria review</w:t>
            </w:r>
          </w:p>
        </w:tc>
        <w:tc>
          <w:tcPr>
            <w:tcW w:w="1023" w:type="dxa"/>
            <w:shd w:val="clear" w:color="auto" w:fill="D9D9D9"/>
          </w:tcPr>
          <w:p w:rsidR="00B0268C" w:rsidRDefault="00C408FB">
            <w:pPr>
              <w:pStyle w:val="TableParagraph"/>
              <w:spacing w:before="87"/>
              <w:ind w:left="5"/>
              <w:jc w:val="center"/>
              <w:rPr>
                <w:rFonts w:ascii="Arial"/>
                <w:sz w:val="16"/>
              </w:rPr>
            </w:pPr>
            <w:r>
              <w:rPr>
                <w:rFonts w:ascii="Arial"/>
                <w:sz w:val="16"/>
              </w:rPr>
              <w:t>X</w:t>
            </w:r>
          </w:p>
        </w:tc>
        <w:tc>
          <w:tcPr>
            <w:tcW w:w="680" w:type="dxa"/>
            <w:shd w:val="clear" w:color="auto" w:fill="D9D9D9"/>
          </w:tcPr>
          <w:p w:rsidR="00B0268C" w:rsidRDefault="00C408FB">
            <w:pPr>
              <w:pStyle w:val="TableParagraph"/>
              <w:spacing w:before="64"/>
              <w:ind w:left="235" w:right="232"/>
              <w:jc w:val="center"/>
              <w:rPr>
                <w:rFonts w:ascii="Arial"/>
                <w:sz w:val="10"/>
              </w:rPr>
            </w:pPr>
            <w:r>
              <w:rPr>
                <w:rFonts w:ascii="Arial"/>
                <w:position w:val="-7"/>
                <w:sz w:val="16"/>
              </w:rPr>
              <w:t>X</w:t>
            </w:r>
            <w:r>
              <w:rPr>
                <w:rFonts w:ascii="Arial"/>
                <w:sz w:val="10"/>
              </w:rPr>
              <w:t>3</w:t>
            </w: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B0268C">
            <w:pPr>
              <w:pStyle w:val="TableParagraph"/>
              <w:rPr>
                <w:sz w:val="16"/>
              </w:rPr>
            </w:pPr>
          </w:p>
        </w:tc>
        <w:tc>
          <w:tcPr>
            <w:tcW w:w="823" w:type="dxa"/>
          </w:tcPr>
          <w:p w:rsidR="00B0268C" w:rsidRDefault="00B0268C">
            <w:pPr>
              <w:pStyle w:val="TableParagraph"/>
              <w:rPr>
                <w:sz w:val="16"/>
              </w:rPr>
            </w:pPr>
          </w:p>
        </w:tc>
        <w:tc>
          <w:tcPr>
            <w:tcW w:w="991" w:type="dxa"/>
            <w:shd w:val="clear" w:color="auto" w:fill="D9D9D9"/>
          </w:tcPr>
          <w:p w:rsidR="00B0268C" w:rsidRDefault="00B0268C">
            <w:pPr>
              <w:pStyle w:val="TableParagraph"/>
              <w:rPr>
                <w:sz w:val="16"/>
              </w:rPr>
            </w:pPr>
          </w:p>
        </w:tc>
      </w:tr>
      <w:tr w:rsidR="00B0268C">
        <w:trPr>
          <w:trHeight w:val="184"/>
        </w:trPr>
        <w:tc>
          <w:tcPr>
            <w:tcW w:w="2235" w:type="dxa"/>
          </w:tcPr>
          <w:p w:rsidR="00B0268C" w:rsidRDefault="00C408FB">
            <w:pPr>
              <w:pStyle w:val="TableParagraph"/>
              <w:spacing w:line="164" w:lineRule="exact"/>
              <w:ind w:left="107"/>
              <w:rPr>
                <w:rFonts w:ascii="Arial"/>
                <w:sz w:val="16"/>
              </w:rPr>
            </w:pPr>
            <w:r>
              <w:rPr>
                <w:rFonts w:ascii="Arial"/>
                <w:sz w:val="16"/>
              </w:rPr>
              <w:t>Randomisation</w:t>
            </w:r>
            <w:r>
              <w:rPr>
                <w:rFonts w:ascii="Arial"/>
                <w:sz w:val="16"/>
                <w:vertAlign w:val="superscript"/>
              </w:rPr>
              <w:t>1</w:t>
            </w:r>
          </w:p>
        </w:tc>
        <w:tc>
          <w:tcPr>
            <w:tcW w:w="1023" w:type="dxa"/>
            <w:shd w:val="clear" w:color="auto" w:fill="D9D9D9"/>
          </w:tcPr>
          <w:p w:rsidR="00B0268C" w:rsidRDefault="00B0268C">
            <w:pPr>
              <w:pStyle w:val="TableParagraph"/>
              <w:rPr>
                <w:sz w:val="12"/>
              </w:rPr>
            </w:pPr>
          </w:p>
        </w:tc>
        <w:tc>
          <w:tcPr>
            <w:tcW w:w="680" w:type="dxa"/>
            <w:shd w:val="clear" w:color="auto" w:fill="D9D9D9"/>
          </w:tcPr>
          <w:p w:rsidR="00B0268C" w:rsidRDefault="00C408FB">
            <w:pPr>
              <w:pStyle w:val="TableParagraph"/>
              <w:spacing w:line="164" w:lineRule="exact"/>
              <w:ind w:left="6"/>
              <w:jc w:val="center"/>
              <w:rPr>
                <w:rFonts w:ascii="Arial"/>
                <w:sz w:val="16"/>
              </w:rPr>
            </w:pPr>
            <w:r>
              <w:rPr>
                <w:rFonts w:ascii="Arial"/>
                <w:sz w:val="16"/>
              </w:rPr>
              <w:t>X</w:t>
            </w:r>
          </w:p>
        </w:tc>
        <w:tc>
          <w:tcPr>
            <w:tcW w:w="850" w:type="dxa"/>
          </w:tcPr>
          <w:p w:rsidR="00B0268C" w:rsidRDefault="00B0268C">
            <w:pPr>
              <w:pStyle w:val="TableParagraph"/>
              <w:rPr>
                <w:sz w:val="12"/>
              </w:rPr>
            </w:pPr>
          </w:p>
        </w:tc>
        <w:tc>
          <w:tcPr>
            <w:tcW w:w="711" w:type="dxa"/>
          </w:tcPr>
          <w:p w:rsidR="00B0268C" w:rsidRDefault="00B0268C">
            <w:pPr>
              <w:pStyle w:val="TableParagraph"/>
              <w:rPr>
                <w:sz w:val="12"/>
              </w:rPr>
            </w:pPr>
          </w:p>
        </w:tc>
        <w:tc>
          <w:tcPr>
            <w:tcW w:w="850"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tcPr>
          <w:p w:rsidR="00B0268C" w:rsidRDefault="00B0268C">
            <w:pPr>
              <w:pStyle w:val="TableParagraph"/>
              <w:rPr>
                <w:sz w:val="12"/>
              </w:rPr>
            </w:pPr>
          </w:p>
        </w:tc>
        <w:tc>
          <w:tcPr>
            <w:tcW w:w="850"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shd w:val="clear" w:color="auto" w:fill="D9D9D9"/>
          </w:tcPr>
          <w:p w:rsidR="00B0268C" w:rsidRDefault="00B0268C">
            <w:pPr>
              <w:pStyle w:val="TableParagraph"/>
              <w:rPr>
                <w:sz w:val="12"/>
              </w:rPr>
            </w:pPr>
          </w:p>
        </w:tc>
        <w:tc>
          <w:tcPr>
            <w:tcW w:w="850" w:type="dxa"/>
          </w:tcPr>
          <w:p w:rsidR="00B0268C" w:rsidRDefault="00B0268C">
            <w:pPr>
              <w:pStyle w:val="TableParagraph"/>
              <w:rPr>
                <w:sz w:val="12"/>
              </w:rPr>
            </w:pPr>
          </w:p>
        </w:tc>
        <w:tc>
          <w:tcPr>
            <w:tcW w:w="852" w:type="dxa"/>
            <w:shd w:val="clear" w:color="auto" w:fill="D9D9D9"/>
          </w:tcPr>
          <w:p w:rsidR="00B0268C" w:rsidRDefault="00B0268C">
            <w:pPr>
              <w:pStyle w:val="TableParagraph"/>
              <w:rPr>
                <w:sz w:val="12"/>
              </w:rPr>
            </w:pPr>
          </w:p>
        </w:tc>
        <w:tc>
          <w:tcPr>
            <w:tcW w:w="737" w:type="dxa"/>
          </w:tcPr>
          <w:p w:rsidR="00B0268C" w:rsidRDefault="00B0268C">
            <w:pPr>
              <w:pStyle w:val="TableParagraph"/>
              <w:rPr>
                <w:sz w:val="12"/>
              </w:rPr>
            </w:pPr>
          </w:p>
        </w:tc>
        <w:tc>
          <w:tcPr>
            <w:tcW w:w="849" w:type="dxa"/>
            <w:shd w:val="clear" w:color="auto" w:fill="D9D9D9"/>
          </w:tcPr>
          <w:p w:rsidR="00B0268C" w:rsidRDefault="00B0268C">
            <w:pPr>
              <w:pStyle w:val="TableParagraph"/>
              <w:rPr>
                <w:sz w:val="12"/>
              </w:rPr>
            </w:pPr>
          </w:p>
        </w:tc>
        <w:tc>
          <w:tcPr>
            <w:tcW w:w="823" w:type="dxa"/>
          </w:tcPr>
          <w:p w:rsidR="00B0268C" w:rsidRDefault="00B0268C">
            <w:pPr>
              <w:pStyle w:val="TableParagraph"/>
              <w:rPr>
                <w:sz w:val="12"/>
              </w:rPr>
            </w:pPr>
          </w:p>
        </w:tc>
        <w:tc>
          <w:tcPr>
            <w:tcW w:w="991" w:type="dxa"/>
            <w:shd w:val="clear" w:color="auto" w:fill="D9D9D9"/>
          </w:tcPr>
          <w:p w:rsidR="00B0268C" w:rsidRDefault="00B0268C">
            <w:pPr>
              <w:pStyle w:val="TableParagraph"/>
              <w:rPr>
                <w:sz w:val="12"/>
              </w:rPr>
            </w:pPr>
          </w:p>
        </w:tc>
      </w:tr>
      <w:tr w:rsidR="00B0268C">
        <w:trPr>
          <w:trHeight w:val="371"/>
        </w:trPr>
        <w:tc>
          <w:tcPr>
            <w:tcW w:w="2235" w:type="dxa"/>
          </w:tcPr>
          <w:p w:rsidR="00B0268C" w:rsidRDefault="00C408FB">
            <w:pPr>
              <w:pStyle w:val="TableParagraph"/>
              <w:spacing w:before="3" w:line="182" w:lineRule="exact"/>
              <w:ind w:left="107" w:right="96"/>
              <w:rPr>
                <w:rFonts w:ascii="Arial"/>
                <w:sz w:val="16"/>
              </w:rPr>
            </w:pPr>
            <w:r>
              <w:rPr>
                <w:rFonts w:ascii="Arial"/>
                <w:sz w:val="16"/>
              </w:rPr>
              <w:t>Urine Pregnancy test in women of child bearing age.</w:t>
            </w:r>
          </w:p>
        </w:tc>
        <w:tc>
          <w:tcPr>
            <w:tcW w:w="1023" w:type="dxa"/>
            <w:shd w:val="clear" w:color="auto" w:fill="D9D9D9"/>
          </w:tcPr>
          <w:p w:rsidR="00B0268C" w:rsidRDefault="00C408FB">
            <w:pPr>
              <w:pStyle w:val="TableParagraph"/>
              <w:spacing w:before="89"/>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B0268C">
            <w:pPr>
              <w:pStyle w:val="TableParagraph"/>
              <w:rPr>
                <w:sz w:val="16"/>
              </w:rPr>
            </w:pPr>
          </w:p>
        </w:tc>
        <w:tc>
          <w:tcPr>
            <w:tcW w:w="823" w:type="dxa"/>
          </w:tcPr>
          <w:p w:rsidR="00B0268C" w:rsidRDefault="00B0268C">
            <w:pPr>
              <w:pStyle w:val="TableParagraph"/>
              <w:rPr>
                <w:sz w:val="16"/>
              </w:rPr>
            </w:pPr>
          </w:p>
        </w:tc>
        <w:tc>
          <w:tcPr>
            <w:tcW w:w="991" w:type="dxa"/>
            <w:shd w:val="clear" w:color="auto" w:fill="D9D9D9"/>
          </w:tcPr>
          <w:p w:rsidR="00B0268C" w:rsidRDefault="00B0268C">
            <w:pPr>
              <w:pStyle w:val="TableParagraph"/>
              <w:rPr>
                <w:sz w:val="16"/>
              </w:rPr>
            </w:pPr>
          </w:p>
        </w:tc>
      </w:tr>
      <w:tr w:rsidR="00B0268C">
        <w:trPr>
          <w:trHeight w:val="590"/>
        </w:trPr>
        <w:tc>
          <w:tcPr>
            <w:tcW w:w="2235" w:type="dxa"/>
          </w:tcPr>
          <w:p w:rsidR="00B0268C" w:rsidRDefault="00C408FB">
            <w:pPr>
              <w:pStyle w:val="TableParagraph"/>
              <w:spacing w:before="15"/>
              <w:ind w:left="107" w:right="505"/>
              <w:rPr>
                <w:rFonts w:ascii="Arial"/>
                <w:sz w:val="16"/>
              </w:rPr>
            </w:pPr>
            <w:r>
              <w:rPr>
                <w:rFonts w:ascii="Arial"/>
                <w:sz w:val="16"/>
              </w:rPr>
              <w:t>Patient demographics, medical and ophthalmic history</w:t>
            </w:r>
          </w:p>
        </w:tc>
        <w:tc>
          <w:tcPr>
            <w:tcW w:w="1023" w:type="dxa"/>
            <w:shd w:val="clear" w:color="auto" w:fill="D9D9D9"/>
          </w:tcPr>
          <w:p w:rsidR="00B0268C" w:rsidRDefault="00B0268C">
            <w:pPr>
              <w:pStyle w:val="TableParagraph"/>
              <w:spacing w:before="4"/>
              <w:rPr>
                <w:rFonts w:ascii="Arial"/>
                <w:sz w:val="17"/>
              </w:rPr>
            </w:pPr>
          </w:p>
          <w:p w:rsidR="00B0268C" w:rsidRDefault="00C408FB">
            <w:pPr>
              <w:pStyle w:val="TableParagraph"/>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B0268C">
            <w:pPr>
              <w:pStyle w:val="TableParagraph"/>
              <w:rPr>
                <w:sz w:val="16"/>
              </w:rPr>
            </w:pPr>
          </w:p>
        </w:tc>
        <w:tc>
          <w:tcPr>
            <w:tcW w:w="823" w:type="dxa"/>
          </w:tcPr>
          <w:p w:rsidR="00B0268C" w:rsidRDefault="00B0268C">
            <w:pPr>
              <w:pStyle w:val="TableParagraph"/>
              <w:rPr>
                <w:sz w:val="16"/>
              </w:rPr>
            </w:pPr>
          </w:p>
        </w:tc>
        <w:tc>
          <w:tcPr>
            <w:tcW w:w="991" w:type="dxa"/>
            <w:shd w:val="clear" w:color="auto" w:fill="D9D9D9"/>
          </w:tcPr>
          <w:p w:rsidR="00B0268C" w:rsidRDefault="00B0268C">
            <w:pPr>
              <w:pStyle w:val="TableParagraph"/>
              <w:rPr>
                <w:sz w:val="16"/>
              </w:rPr>
            </w:pPr>
          </w:p>
        </w:tc>
      </w:tr>
      <w:tr w:rsidR="00B0268C">
        <w:trPr>
          <w:trHeight w:val="256"/>
        </w:trPr>
        <w:tc>
          <w:tcPr>
            <w:tcW w:w="2235" w:type="dxa"/>
          </w:tcPr>
          <w:p w:rsidR="00B0268C" w:rsidRDefault="00C408FB">
            <w:pPr>
              <w:pStyle w:val="TableParagraph"/>
              <w:spacing w:before="32"/>
              <w:ind w:left="107"/>
              <w:rPr>
                <w:rFonts w:ascii="Arial"/>
                <w:sz w:val="16"/>
              </w:rPr>
            </w:pPr>
            <w:r>
              <w:rPr>
                <w:rFonts w:ascii="Arial"/>
                <w:sz w:val="16"/>
              </w:rPr>
              <w:t>Adverse events</w:t>
            </w:r>
          </w:p>
        </w:tc>
        <w:tc>
          <w:tcPr>
            <w:tcW w:w="1023"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680" w:type="dxa"/>
            <w:shd w:val="clear" w:color="auto" w:fill="D9D9D9"/>
          </w:tcPr>
          <w:p w:rsidR="00B0268C" w:rsidRDefault="00C408FB">
            <w:pPr>
              <w:pStyle w:val="TableParagraph"/>
              <w:spacing w:before="32"/>
              <w:ind w:left="6"/>
              <w:jc w:val="center"/>
              <w:rPr>
                <w:rFonts w:ascii="Arial"/>
                <w:sz w:val="16"/>
              </w:rPr>
            </w:pPr>
            <w:r>
              <w:rPr>
                <w:rFonts w:ascii="Arial"/>
                <w:sz w:val="16"/>
              </w:rPr>
              <w:t>X</w:t>
            </w:r>
          </w:p>
        </w:tc>
        <w:tc>
          <w:tcPr>
            <w:tcW w:w="850" w:type="dxa"/>
          </w:tcPr>
          <w:p w:rsidR="00B0268C" w:rsidRDefault="00C408FB">
            <w:pPr>
              <w:pStyle w:val="TableParagraph"/>
              <w:spacing w:before="32"/>
              <w:ind w:left="7"/>
              <w:jc w:val="center"/>
              <w:rPr>
                <w:rFonts w:ascii="Arial"/>
                <w:sz w:val="16"/>
              </w:rPr>
            </w:pPr>
            <w:r>
              <w:rPr>
                <w:rFonts w:ascii="Arial"/>
                <w:sz w:val="16"/>
              </w:rPr>
              <w:t>X</w:t>
            </w:r>
          </w:p>
        </w:tc>
        <w:tc>
          <w:tcPr>
            <w:tcW w:w="711" w:type="dxa"/>
          </w:tcPr>
          <w:p w:rsidR="00B0268C" w:rsidRDefault="00C408FB">
            <w:pPr>
              <w:pStyle w:val="TableParagraph"/>
              <w:spacing w:before="32"/>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32"/>
              <w:ind w:left="2"/>
              <w:jc w:val="center"/>
              <w:rPr>
                <w:rFonts w:ascii="Arial"/>
                <w:sz w:val="16"/>
              </w:rPr>
            </w:pPr>
            <w:r>
              <w:rPr>
                <w:rFonts w:ascii="Arial"/>
                <w:sz w:val="16"/>
              </w:rPr>
              <w:t>X</w:t>
            </w:r>
          </w:p>
        </w:tc>
        <w:tc>
          <w:tcPr>
            <w:tcW w:w="850" w:type="dxa"/>
          </w:tcPr>
          <w:p w:rsidR="00B0268C" w:rsidRDefault="00C408FB">
            <w:pPr>
              <w:pStyle w:val="TableParagraph"/>
              <w:spacing w:before="32"/>
              <w:ind w:left="6"/>
              <w:jc w:val="center"/>
              <w:rPr>
                <w:rFonts w:ascii="Arial"/>
                <w:sz w:val="16"/>
              </w:rPr>
            </w:pPr>
            <w:r>
              <w:rPr>
                <w:rFonts w:ascii="Arial"/>
                <w:sz w:val="16"/>
              </w:rPr>
              <w:t>X</w:t>
            </w:r>
          </w:p>
        </w:tc>
        <w:tc>
          <w:tcPr>
            <w:tcW w:w="852" w:type="dxa"/>
          </w:tcPr>
          <w:p w:rsidR="00B0268C" w:rsidRDefault="00C408FB">
            <w:pPr>
              <w:pStyle w:val="TableParagraph"/>
              <w:spacing w:before="32"/>
              <w:ind w:left="368"/>
              <w:rPr>
                <w:rFonts w:ascii="Arial"/>
                <w:sz w:val="16"/>
              </w:rPr>
            </w:pPr>
            <w:r>
              <w:rPr>
                <w:rFonts w:ascii="Arial"/>
                <w:sz w:val="16"/>
              </w:rPr>
              <w:t>X</w:t>
            </w:r>
          </w:p>
        </w:tc>
        <w:tc>
          <w:tcPr>
            <w:tcW w:w="850" w:type="dxa"/>
            <w:shd w:val="clear" w:color="auto" w:fill="D9D9D9"/>
          </w:tcPr>
          <w:p w:rsidR="00B0268C" w:rsidRDefault="00C408FB">
            <w:pPr>
              <w:pStyle w:val="TableParagraph"/>
              <w:spacing w:before="32"/>
              <w:jc w:val="center"/>
              <w:rPr>
                <w:rFonts w:ascii="Arial"/>
                <w:sz w:val="16"/>
              </w:rPr>
            </w:pPr>
            <w:r>
              <w:rPr>
                <w:rFonts w:ascii="Arial"/>
                <w:sz w:val="16"/>
              </w:rPr>
              <w:t>X</w:t>
            </w:r>
          </w:p>
        </w:tc>
        <w:tc>
          <w:tcPr>
            <w:tcW w:w="850" w:type="dxa"/>
          </w:tcPr>
          <w:p w:rsidR="00B0268C" w:rsidRDefault="00C408FB">
            <w:pPr>
              <w:pStyle w:val="TableParagraph"/>
              <w:spacing w:before="32"/>
              <w:ind w:left="5"/>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850" w:type="dxa"/>
          </w:tcPr>
          <w:p w:rsidR="00B0268C" w:rsidRDefault="00C408FB">
            <w:pPr>
              <w:pStyle w:val="TableParagraph"/>
              <w:spacing w:before="32"/>
              <w:ind w:left="4"/>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737" w:type="dxa"/>
          </w:tcPr>
          <w:p w:rsidR="00B0268C" w:rsidRDefault="00C408FB">
            <w:pPr>
              <w:pStyle w:val="TableParagraph"/>
              <w:spacing w:before="32"/>
              <w:jc w:val="center"/>
              <w:rPr>
                <w:rFonts w:ascii="Arial"/>
                <w:sz w:val="16"/>
              </w:rPr>
            </w:pPr>
            <w:r>
              <w:rPr>
                <w:rFonts w:ascii="Arial"/>
                <w:sz w:val="16"/>
              </w:rPr>
              <w:t>X</w:t>
            </w:r>
          </w:p>
        </w:tc>
        <w:tc>
          <w:tcPr>
            <w:tcW w:w="849"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823" w:type="dxa"/>
          </w:tcPr>
          <w:p w:rsidR="00B0268C" w:rsidRDefault="00C408FB">
            <w:pPr>
              <w:pStyle w:val="TableParagraph"/>
              <w:spacing w:before="32"/>
              <w:ind w:left="3"/>
              <w:jc w:val="center"/>
              <w:rPr>
                <w:rFonts w:ascii="Arial"/>
                <w:sz w:val="16"/>
              </w:rPr>
            </w:pPr>
            <w:r>
              <w:rPr>
                <w:rFonts w:ascii="Arial"/>
                <w:sz w:val="16"/>
              </w:rPr>
              <w:t>X</w:t>
            </w:r>
          </w:p>
        </w:tc>
        <w:tc>
          <w:tcPr>
            <w:tcW w:w="991" w:type="dxa"/>
            <w:shd w:val="clear" w:color="auto" w:fill="D9D9D9"/>
          </w:tcPr>
          <w:p w:rsidR="00B0268C" w:rsidRDefault="00C408FB">
            <w:pPr>
              <w:pStyle w:val="TableParagraph"/>
              <w:spacing w:before="32"/>
              <w:ind w:left="4"/>
              <w:jc w:val="center"/>
              <w:rPr>
                <w:rFonts w:ascii="Arial"/>
                <w:sz w:val="16"/>
              </w:rPr>
            </w:pPr>
            <w:r>
              <w:rPr>
                <w:rFonts w:ascii="Arial"/>
                <w:sz w:val="16"/>
              </w:rPr>
              <w:t>X</w:t>
            </w:r>
          </w:p>
        </w:tc>
      </w:tr>
      <w:tr w:rsidR="00B0268C">
        <w:trPr>
          <w:trHeight w:val="254"/>
        </w:trPr>
        <w:tc>
          <w:tcPr>
            <w:tcW w:w="2235" w:type="dxa"/>
          </w:tcPr>
          <w:p w:rsidR="00B0268C" w:rsidRDefault="00C408FB">
            <w:pPr>
              <w:pStyle w:val="TableParagraph"/>
              <w:spacing w:before="32"/>
              <w:ind w:left="107"/>
              <w:rPr>
                <w:rFonts w:ascii="Arial"/>
                <w:sz w:val="16"/>
              </w:rPr>
            </w:pPr>
            <w:r>
              <w:rPr>
                <w:rFonts w:ascii="Arial"/>
                <w:sz w:val="16"/>
              </w:rPr>
              <w:t>Concomitant medication</w:t>
            </w:r>
          </w:p>
        </w:tc>
        <w:tc>
          <w:tcPr>
            <w:tcW w:w="1023"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680" w:type="dxa"/>
            <w:shd w:val="clear" w:color="auto" w:fill="D9D9D9"/>
          </w:tcPr>
          <w:p w:rsidR="00B0268C" w:rsidRDefault="00C408FB">
            <w:pPr>
              <w:pStyle w:val="TableParagraph"/>
              <w:spacing w:before="32"/>
              <w:ind w:left="6"/>
              <w:jc w:val="center"/>
              <w:rPr>
                <w:rFonts w:ascii="Arial"/>
                <w:sz w:val="16"/>
              </w:rPr>
            </w:pPr>
            <w:r>
              <w:rPr>
                <w:rFonts w:ascii="Arial"/>
                <w:sz w:val="16"/>
              </w:rPr>
              <w:t>X</w:t>
            </w:r>
          </w:p>
        </w:tc>
        <w:tc>
          <w:tcPr>
            <w:tcW w:w="850" w:type="dxa"/>
          </w:tcPr>
          <w:p w:rsidR="00B0268C" w:rsidRDefault="00C408FB">
            <w:pPr>
              <w:pStyle w:val="TableParagraph"/>
              <w:spacing w:before="32"/>
              <w:ind w:left="7"/>
              <w:jc w:val="center"/>
              <w:rPr>
                <w:rFonts w:ascii="Arial"/>
                <w:sz w:val="16"/>
              </w:rPr>
            </w:pPr>
            <w:r>
              <w:rPr>
                <w:rFonts w:ascii="Arial"/>
                <w:sz w:val="16"/>
              </w:rPr>
              <w:t>X</w:t>
            </w:r>
          </w:p>
        </w:tc>
        <w:tc>
          <w:tcPr>
            <w:tcW w:w="711" w:type="dxa"/>
          </w:tcPr>
          <w:p w:rsidR="00B0268C" w:rsidRDefault="00C408FB">
            <w:pPr>
              <w:pStyle w:val="TableParagraph"/>
              <w:spacing w:before="32"/>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32"/>
              <w:ind w:left="2"/>
              <w:jc w:val="center"/>
              <w:rPr>
                <w:rFonts w:ascii="Arial"/>
                <w:sz w:val="16"/>
              </w:rPr>
            </w:pPr>
            <w:r>
              <w:rPr>
                <w:rFonts w:ascii="Arial"/>
                <w:sz w:val="16"/>
              </w:rPr>
              <w:t>X</w:t>
            </w:r>
          </w:p>
        </w:tc>
        <w:tc>
          <w:tcPr>
            <w:tcW w:w="850" w:type="dxa"/>
          </w:tcPr>
          <w:p w:rsidR="00B0268C" w:rsidRDefault="00C408FB">
            <w:pPr>
              <w:pStyle w:val="TableParagraph"/>
              <w:spacing w:before="32"/>
              <w:ind w:left="6"/>
              <w:jc w:val="center"/>
              <w:rPr>
                <w:rFonts w:ascii="Arial"/>
                <w:sz w:val="16"/>
              </w:rPr>
            </w:pPr>
            <w:r>
              <w:rPr>
                <w:rFonts w:ascii="Arial"/>
                <w:sz w:val="16"/>
              </w:rPr>
              <w:t>X</w:t>
            </w:r>
          </w:p>
        </w:tc>
        <w:tc>
          <w:tcPr>
            <w:tcW w:w="852" w:type="dxa"/>
          </w:tcPr>
          <w:p w:rsidR="00B0268C" w:rsidRDefault="00C408FB">
            <w:pPr>
              <w:pStyle w:val="TableParagraph"/>
              <w:spacing w:before="32"/>
              <w:ind w:left="368"/>
              <w:rPr>
                <w:rFonts w:ascii="Arial"/>
                <w:sz w:val="16"/>
              </w:rPr>
            </w:pPr>
            <w:r>
              <w:rPr>
                <w:rFonts w:ascii="Arial"/>
                <w:sz w:val="16"/>
              </w:rPr>
              <w:t>X</w:t>
            </w:r>
          </w:p>
        </w:tc>
        <w:tc>
          <w:tcPr>
            <w:tcW w:w="850" w:type="dxa"/>
            <w:shd w:val="clear" w:color="auto" w:fill="D9D9D9"/>
          </w:tcPr>
          <w:p w:rsidR="00B0268C" w:rsidRDefault="00C408FB">
            <w:pPr>
              <w:pStyle w:val="TableParagraph"/>
              <w:spacing w:before="32"/>
              <w:jc w:val="center"/>
              <w:rPr>
                <w:rFonts w:ascii="Arial"/>
                <w:sz w:val="16"/>
              </w:rPr>
            </w:pPr>
            <w:r>
              <w:rPr>
                <w:rFonts w:ascii="Arial"/>
                <w:sz w:val="16"/>
              </w:rPr>
              <w:t>X</w:t>
            </w:r>
          </w:p>
        </w:tc>
        <w:tc>
          <w:tcPr>
            <w:tcW w:w="850" w:type="dxa"/>
          </w:tcPr>
          <w:p w:rsidR="00B0268C" w:rsidRDefault="00C408FB">
            <w:pPr>
              <w:pStyle w:val="TableParagraph"/>
              <w:spacing w:before="32"/>
              <w:ind w:left="5"/>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850" w:type="dxa"/>
          </w:tcPr>
          <w:p w:rsidR="00B0268C" w:rsidRDefault="00C408FB">
            <w:pPr>
              <w:pStyle w:val="TableParagraph"/>
              <w:spacing w:before="32"/>
              <w:ind w:left="4"/>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737" w:type="dxa"/>
          </w:tcPr>
          <w:p w:rsidR="00B0268C" w:rsidRDefault="00C408FB">
            <w:pPr>
              <w:pStyle w:val="TableParagraph"/>
              <w:spacing w:before="32"/>
              <w:jc w:val="center"/>
              <w:rPr>
                <w:rFonts w:ascii="Arial"/>
                <w:sz w:val="16"/>
              </w:rPr>
            </w:pPr>
            <w:r>
              <w:rPr>
                <w:rFonts w:ascii="Arial"/>
                <w:sz w:val="16"/>
              </w:rPr>
              <w:t>X</w:t>
            </w:r>
          </w:p>
        </w:tc>
        <w:tc>
          <w:tcPr>
            <w:tcW w:w="849"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823" w:type="dxa"/>
          </w:tcPr>
          <w:p w:rsidR="00B0268C" w:rsidRDefault="00C408FB">
            <w:pPr>
              <w:pStyle w:val="TableParagraph"/>
              <w:spacing w:before="32"/>
              <w:ind w:left="3"/>
              <w:jc w:val="center"/>
              <w:rPr>
                <w:rFonts w:ascii="Arial"/>
                <w:sz w:val="16"/>
              </w:rPr>
            </w:pPr>
            <w:r>
              <w:rPr>
                <w:rFonts w:ascii="Arial"/>
                <w:sz w:val="16"/>
              </w:rPr>
              <w:t>X</w:t>
            </w:r>
          </w:p>
        </w:tc>
        <w:tc>
          <w:tcPr>
            <w:tcW w:w="991" w:type="dxa"/>
            <w:shd w:val="clear" w:color="auto" w:fill="D9D9D9"/>
          </w:tcPr>
          <w:p w:rsidR="00B0268C" w:rsidRDefault="00C408FB">
            <w:pPr>
              <w:pStyle w:val="TableParagraph"/>
              <w:spacing w:before="32"/>
              <w:ind w:left="4"/>
              <w:jc w:val="center"/>
              <w:rPr>
                <w:rFonts w:ascii="Arial"/>
                <w:sz w:val="16"/>
              </w:rPr>
            </w:pPr>
            <w:r>
              <w:rPr>
                <w:rFonts w:ascii="Arial"/>
                <w:sz w:val="16"/>
              </w:rPr>
              <w:t>X</w:t>
            </w:r>
          </w:p>
        </w:tc>
      </w:tr>
      <w:tr w:rsidR="00B0268C">
        <w:trPr>
          <w:trHeight w:val="256"/>
        </w:trPr>
        <w:tc>
          <w:tcPr>
            <w:tcW w:w="2235" w:type="dxa"/>
          </w:tcPr>
          <w:p w:rsidR="00B0268C" w:rsidRDefault="00C408FB">
            <w:pPr>
              <w:pStyle w:val="TableParagraph"/>
              <w:spacing w:before="32"/>
              <w:ind w:left="107"/>
              <w:rPr>
                <w:rFonts w:ascii="Arial"/>
                <w:sz w:val="16"/>
              </w:rPr>
            </w:pPr>
            <w:r>
              <w:rPr>
                <w:rFonts w:ascii="Arial"/>
                <w:sz w:val="16"/>
              </w:rPr>
              <w:t>Blood Pressure</w:t>
            </w:r>
          </w:p>
        </w:tc>
        <w:tc>
          <w:tcPr>
            <w:tcW w:w="1023"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680" w:type="dxa"/>
            <w:shd w:val="clear" w:color="auto" w:fill="D9D9D9"/>
          </w:tcPr>
          <w:p w:rsidR="00B0268C" w:rsidRDefault="00C408FB">
            <w:pPr>
              <w:pStyle w:val="TableParagraph"/>
              <w:spacing w:before="32"/>
              <w:ind w:left="6"/>
              <w:jc w:val="center"/>
              <w:rPr>
                <w:rFonts w:ascii="Arial"/>
                <w:sz w:val="16"/>
              </w:rPr>
            </w:pPr>
            <w:r>
              <w:rPr>
                <w:rFonts w:ascii="Arial"/>
                <w:sz w:val="16"/>
              </w:rPr>
              <w:t>X</w:t>
            </w:r>
          </w:p>
        </w:tc>
        <w:tc>
          <w:tcPr>
            <w:tcW w:w="850" w:type="dxa"/>
          </w:tcPr>
          <w:p w:rsidR="00B0268C" w:rsidRDefault="00C408FB">
            <w:pPr>
              <w:pStyle w:val="TableParagraph"/>
              <w:spacing w:before="32"/>
              <w:ind w:left="7"/>
              <w:jc w:val="center"/>
              <w:rPr>
                <w:rFonts w:ascii="Arial"/>
                <w:sz w:val="16"/>
              </w:rPr>
            </w:pPr>
            <w:r>
              <w:rPr>
                <w:rFonts w:ascii="Arial"/>
                <w:sz w:val="16"/>
              </w:rPr>
              <w:t>X</w:t>
            </w:r>
          </w:p>
        </w:tc>
        <w:tc>
          <w:tcPr>
            <w:tcW w:w="711" w:type="dxa"/>
          </w:tcPr>
          <w:p w:rsidR="00B0268C" w:rsidRDefault="00C408FB">
            <w:pPr>
              <w:pStyle w:val="TableParagraph"/>
              <w:spacing w:before="32"/>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32"/>
              <w:ind w:left="2"/>
              <w:jc w:val="center"/>
              <w:rPr>
                <w:rFonts w:ascii="Arial"/>
                <w:sz w:val="16"/>
              </w:rPr>
            </w:pPr>
            <w:r>
              <w:rPr>
                <w:rFonts w:ascii="Arial"/>
                <w:sz w:val="16"/>
              </w:rPr>
              <w:t>X</w:t>
            </w:r>
          </w:p>
        </w:tc>
        <w:tc>
          <w:tcPr>
            <w:tcW w:w="850" w:type="dxa"/>
          </w:tcPr>
          <w:p w:rsidR="00B0268C" w:rsidRDefault="00C408FB">
            <w:pPr>
              <w:pStyle w:val="TableParagraph"/>
              <w:spacing w:before="32"/>
              <w:ind w:left="6"/>
              <w:jc w:val="center"/>
              <w:rPr>
                <w:rFonts w:ascii="Arial"/>
                <w:sz w:val="16"/>
              </w:rPr>
            </w:pPr>
            <w:r>
              <w:rPr>
                <w:rFonts w:ascii="Arial"/>
                <w:sz w:val="16"/>
              </w:rPr>
              <w:t>X</w:t>
            </w:r>
          </w:p>
        </w:tc>
        <w:tc>
          <w:tcPr>
            <w:tcW w:w="852" w:type="dxa"/>
          </w:tcPr>
          <w:p w:rsidR="00B0268C" w:rsidRDefault="00C408FB">
            <w:pPr>
              <w:pStyle w:val="TableParagraph"/>
              <w:spacing w:before="32"/>
              <w:ind w:left="368"/>
              <w:rPr>
                <w:rFonts w:ascii="Arial"/>
                <w:sz w:val="16"/>
              </w:rPr>
            </w:pPr>
            <w:r>
              <w:rPr>
                <w:rFonts w:ascii="Arial"/>
                <w:sz w:val="16"/>
              </w:rPr>
              <w:t>X</w:t>
            </w:r>
          </w:p>
        </w:tc>
        <w:tc>
          <w:tcPr>
            <w:tcW w:w="850" w:type="dxa"/>
            <w:shd w:val="clear" w:color="auto" w:fill="D9D9D9"/>
          </w:tcPr>
          <w:p w:rsidR="00B0268C" w:rsidRDefault="00C408FB">
            <w:pPr>
              <w:pStyle w:val="TableParagraph"/>
              <w:spacing w:before="32"/>
              <w:jc w:val="center"/>
              <w:rPr>
                <w:rFonts w:ascii="Arial"/>
                <w:sz w:val="16"/>
              </w:rPr>
            </w:pPr>
            <w:r>
              <w:rPr>
                <w:rFonts w:ascii="Arial"/>
                <w:sz w:val="16"/>
              </w:rPr>
              <w:t>X</w:t>
            </w:r>
          </w:p>
        </w:tc>
        <w:tc>
          <w:tcPr>
            <w:tcW w:w="850" w:type="dxa"/>
          </w:tcPr>
          <w:p w:rsidR="00B0268C" w:rsidRDefault="00C408FB">
            <w:pPr>
              <w:pStyle w:val="TableParagraph"/>
              <w:spacing w:before="32"/>
              <w:ind w:left="5"/>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850" w:type="dxa"/>
          </w:tcPr>
          <w:p w:rsidR="00B0268C" w:rsidRDefault="00C408FB">
            <w:pPr>
              <w:pStyle w:val="TableParagraph"/>
              <w:spacing w:before="32"/>
              <w:ind w:left="4"/>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737" w:type="dxa"/>
          </w:tcPr>
          <w:p w:rsidR="00B0268C" w:rsidRDefault="00C408FB">
            <w:pPr>
              <w:pStyle w:val="TableParagraph"/>
              <w:spacing w:before="32"/>
              <w:jc w:val="center"/>
              <w:rPr>
                <w:rFonts w:ascii="Arial"/>
                <w:sz w:val="16"/>
              </w:rPr>
            </w:pPr>
            <w:r>
              <w:rPr>
                <w:rFonts w:ascii="Arial"/>
                <w:sz w:val="16"/>
              </w:rPr>
              <w:t>X</w:t>
            </w:r>
          </w:p>
        </w:tc>
        <w:tc>
          <w:tcPr>
            <w:tcW w:w="849"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823" w:type="dxa"/>
          </w:tcPr>
          <w:p w:rsidR="00B0268C" w:rsidRDefault="00C408FB">
            <w:pPr>
              <w:pStyle w:val="TableParagraph"/>
              <w:spacing w:before="32"/>
              <w:ind w:left="3"/>
              <w:jc w:val="center"/>
              <w:rPr>
                <w:rFonts w:ascii="Arial"/>
                <w:sz w:val="16"/>
              </w:rPr>
            </w:pPr>
            <w:r>
              <w:rPr>
                <w:rFonts w:ascii="Arial"/>
                <w:sz w:val="16"/>
              </w:rPr>
              <w:t>X</w:t>
            </w:r>
          </w:p>
        </w:tc>
        <w:tc>
          <w:tcPr>
            <w:tcW w:w="991" w:type="dxa"/>
            <w:shd w:val="clear" w:color="auto" w:fill="D9D9D9"/>
          </w:tcPr>
          <w:p w:rsidR="00B0268C" w:rsidRDefault="00C408FB">
            <w:pPr>
              <w:pStyle w:val="TableParagraph"/>
              <w:spacing w:before="32"/>
              <w:ind w:left="4"/>
              <w:jc w:val="center"/>
              <w:rPr>
                <w:rFonts w:ascii="Arial"/>
                <w:sz w:val="16"/>
              </w:rPr>
            </w:pPr>
            <w:r>
              <w:rPr>
                <w:rFonts w:ascii="Arial"/>
                <w:sz w:val="16"/>
              </w:rPr>
              <w:t>X</w:t>
            </w:r>
          </w:p>
        </w:tc>
      </w:tr>
      <w:tr w:rsidR="00B0268C">
        <w:trPr>
          <w:trHeight w:val="539"/>
        </w:trPr>
        <w:tc>
          <w:tcPr>
            <w:tcW w:w="2235" w:type="dxa"/>
          </w:tcPr>
          <w:p w:rsidR="00B0268C" w:rsidRDefault="00C408FB">
            <w:pPr>
              <w:pStyle w:val="TableParagraph"/>
              <w:spacing w:line="180" w:lineRule="exact"/>
              <w:ind w:left="107"/>
              <w:rPr>
                <w:rFonts w:ascii="Arial"/>
                <w:sz w:val="16"/>
              </w:rPr>
            </w:pPr>
            <w:r>
              <w:rPr>
                <w:rFonts w:ascii="Arial"/>
                <w:sz w:val="16"/>
              </w:rPr>
              <w:t>Best corrected ETDRS</w:t>
            </w:r>
          </w:p>
          <w:p w:rsidR="00B0268C" w:rsidRDefault="00C408FB">
            <w:pPr>
              <w:pStyle w:val="TableParagraph"/>
              <w:spacing w:before="5" w:line="182" w:lineRule="exact"/>
              <w:ind w:left="107" w:right="275"/>
              <w:rPr>
                <w:rFonts w:ascii="Arial"/>
                <w:sz w:val="16"/>
              </w:rPr>
            </w:pPr>
            <w:r>
              <w:rPr>
                <w:rFonts w:ascii="Arial"/>
                <w:sz w:val="16"/>
              </w:rPr>
              <w:t>visual acuity in both eyes (refraction visit =X1)</w:t>
            </w:r>
          </w:p>
        </w:tc>
        <w:tc>
          <w:tcPr>
            <w:tcW w:w="1023" w:type="dxa"/>
            <w:shd w:val="clear" w:color="auto" w:fill="D9D9D9"/>
          </w:tcPr>
          <w:p w:rsidR="00B0268C" w:rsidRDefault="00B0268C">
            <w:pPr>
              <w:pStyle w:val="TableParagraph"/>
              <w:spacing w:before="1"/>
              <w:rPr>
                <w:rFonts w:ascii="Arial"/>
                <w:sz w:val="15"/>
              </w:rPr>
            </w:pPr>
          </w:p>
          <w:p w:rsidR="00B0268C" w:rsidRDefault="00C408FB">
            <w:pPr>
              <w:pStyle w:val="TableParagraph"/>
              <w:ind w:left="123" w:right="123"/>
              <w:jc w:val="center"/>
              <w:rPr>
                <w:rFonts w:ascii="Arial"/>
                <w:sz w:val="16"/>
              </w:rPr>
            </w:pPr>
            <w:r>
              <w:rPr>
                <w:rFonts w:ascii="Arial"/>
                <w:sz w:val="16"/>
              </w:rPr>
              <w:t>X1</w:t>
            </w:r>
          </w:p>
        </w:tc>
        <w:tc>
          <w:tcPr>
            <w:tcW w:w="680" w:type="dxa"/>
            <w:shd w:val="clear" w:color="auto" w:fill="D9D9D9"/>
          </w:tcPr>
          <w:p w:rsidR="00B0268C" w:rsidRDefault="00B0268C">
            <w:pPr>
              <w:pStyle w:val="TableParagraph"/>
              <w:spacing w:before="1"/>
              <w:rPr>
                <w:rFonts w:ascii="Arial"/>
                <w:sz w:val="15"/>
              </w:rPr>
            </w:pPr>
          </w:p>
          <w:p w:rsidR="00B0268C" w:rsidRDefault="00C408FB">
            <w:pPr>
              <w:pStyle w:val="TableParagraph"/>
              <w:ind w:left="6"/>
              <w:jc w:val="center"/>
              <w:rPr>
                <w:rFonts w:ascii="Arial"/>
                <w:sz w:val="16"/>
              </w:rPr>
            </w:pPr>
            <w:r>
              <w:rPr>
                <w:rFonts w:ascii="Arial"/>
                <w:sz w:val="16"/>
              </w:rPr>
              <w:t>X</w:t>
            </w:r>
          </w:p>
        </w:tc>
        <w:tc>
          <w:tcPr>
            <w:tcW w:w="850" w:type="dxa"/>
          </w:tcPr>
          <w:p w:rsidR="00B0268C" w:rsidRDefault="00B0268C">
            <w:pPr>
              <w:pStyle w:val="TableParagraph"/>
              <w:spacing w:before="1"/>
              <w:rPr>
                <w:rFonts w:ascii="Arial"/>
                <w:sz w:val="15"/>
              </w:rPr>
            </w:pPr>
          </w:p>
          <w:p w:rsidR="00B0268C" w:rsidRDefault="00C408FB">
            <w:pPr>
              <w:pStyle w:val="TableParagraph"/>
              <w:ind w:left="7"/>
              <w:jc w:val="center"/>
              <w:rPr>
                <w:rFonts w:ascii="Arial"/>
                <w:sz w:val="16"/>
              </w:rPr>
            </w:pPr>
            <w:r>
              <w:rPr>
                <w:rFonts w:ascii="Arial"/>
                <w:sz w:val="16"/>
              </w:rPr>
              <w:t>X</w:t>
            </w:r>
          </w:p>
        </w:tc>
        <w:tc>
          <w:tcPr>
            <w:tcW w:w="711" w:type="dxa"/>
          </w:tcPr>
          <w:p w:rsidR="00B0268C" w:rsidRDefault="00B0268C">
            <w:pPr>
              <w:pStyle w:val="TableParagraph"/>
              <w:spacing w:before="1"/>
              <w:rPr>
                <w:rFonts w:ascii="Arial"/>
                <w:sz w:val="15"/>
              </w:rPr>
            </w:pPr>
          </w:p>
          <w:p w:rsidR="00B0268C" w:rsidRDefault="00C408FB">
            <w:pPr>
              <w:pStyle w:val="TableParagraph"/>
              <w:ind w:left="3"/>
              <w:jc w:val="center"/>
              <w:rPr>
                <w:rFonts w:ascii="Arial"/>
                <w:sz w:val="16"/>
              </w:rPr>
            </w:pPr>
            <w:r>
              <w:rPr>
                <w:rFonts w:ascii="Arial"/>
                <w:sz w:val="16"/>
              </w:rPr>
              <w:t>X</w:t>
            </w:r>
          </w:p>
        </w:tc>
        <w:tc>
          <w:tcPr>
            <w:tcW w:w="850" w:type="dxa"/>
            <w:shd w:val="clear" w:color="auto" w:fill="D9D9D9"/>
          </w:tcPr>
          <w:p w:rsidR="00B0268C" w:rsidRDefault="00B0268C">
            <w:pPr>
              <w:pStyle w:val="TableParagraph"/>
              <w:spacing w:before="1"/>
              <w:rPr>
                <w:rFonts w:ascii="Arial"/>
                <w:sz w:val="15"/>
              </w:rPr>
            </w:pPr>
          </w:p>
          <w:p w:rsidR="00B0268C" w:rsidRDefault="00C408FB">
            <w:pPr>
              <w:pStyle w:val="TableParagraph"/>
              <w:ind w:left="104" w:right="105"/>
              <w:jc w:val="center"/>
              <w:rPr>
                <w:rFonts w:ascii="Arial"/>
                <w:sz w:val="16"/>
              </w:rPr>
            </w:pPr>
            <w:r>
              <w:rPr>
                <w:rFonts w:ascii="Arial"/>
                <w:sz w:val="16"/>
              </w:rPr>
              <w:t>X1</w:t>
            </w:r>
          </w:p>
        </w:tc>
        <w:tc>
          <w:tcPr>
            <w:tcW w:w="850" w:type="dxa"/>
          </w:tcPr>
          <w:p w:rsidR="00B0268C" w:rsidRDefault="00B0268C">
            <w:pPr>
              <w:pStyle w:val="TableParagraph"/>
              <w:spacing w:before="1"/>
              <w:rPr>
                <w:rFonts w:ascii="Arial"/>
                <w:sz w:val="15"/>
              </w:rPr>
            </w:pPr>
          </w:p>
          <w:p w:rsidR="00B0268C" w:rsidRDefault="00C408FB">
            <w:pPr>
              <w:pStyle w:val="TableParagraph"/>
              <w:ind w:left="6"/>
              <w:jc w:val="center"/>
              <w:rPr>
                <w:rFonts w:ascii="Arial"/>
                <w:sz w:val="16"/>
              </w:rPr>
            </w:pPr>
            <w:r>
              <w:rPr>
                <w:rFonts w:ascii="Arial"/>
                <w:sz w:val="16"/>
              </w:rPr>
              <w:t>X</w:t>
            </w:r>
          </w:p>
        </w:tc>
        <w:tc>
          <w:tcPr>
            <w:tcW w:w="852" w:type="dxa"/>
          </w:tcPr>
          <w:p w:rsidR="00B0268C" w:rsidRDefault="00B0268C">
            <w:pPr>
              <w:pStyle w:val="TableParagraph"/>
              <w:spacing w:before="1"/>
              <w:rPr>
                <w:rFonts w:ascii="Arial"/>
                <w:sz w:val="15"/>
              </w:rPr>
            </w:pPr>
          </w:p>
          <w:p w:rsidR="00B0268C" w:rsidRDefault="00C408FB">
            <w:pPr>
              <w:pStyle w:val="TableParagraph"/>
              <w:ind w:left="368"/>
              <w:rPr>
                <w:rFonts w:ascii="Arial"/>
                <w:sz w:val="16"/>
              </w:rPr>
            </w:pPr>
            <w:r>
              <w:rPr>
                <w:rFonts w:ascii="Arial"/>
                <w:sz w:val="16"/>
              </w:rPr>
              <w:t>X</w:t>
            </w:r>
          </w:p>
        </w:tc>
        <w:tc>
          <w:tcPr>
            <w:tcW w:w="850" w:type="dxa"/>
            <w:shd w:val="clear" w:color="auto" w:fill="D9D9D9"/>
          </w:tcPr>
          <w:p w:rsidR="00B0268C" w:rsidRDefault="00B0268C">
            <w:pPr>
              <w:pStyle w:val="TableParagraph"/>
              <w:spacing w:before="1"/>
              <w:rPr>
                <w:rFonts w:ascii="Arial"/>
                <w:sz w:val="15"/>
              </w:rPr>
            </w:pPr>
          </w:p>
          <w:p w:rsidR="00B0268C" w:rsidRDefault="00C408FB">
            <w:pPr>
              <w:pStyle w:val="TableParagraph"/>
              <w:ind w:left="103" w:right="105"/>
              <w:jc w:val="center"/>
              <w:rPr>
                <w:rFonts w:ascii="Arial"/>
                <w:sz w:val="16"/>
              </w:rPr>
            </w:pPr>
            <w:r>
              <w:rPr>
                <w:rFonts w:ascii="Arial"/>
                <w:sz w:val="16"/>
              </w:rPr>
              <w:t>X1</w:t>
            </w:r>
          </w:p>
        </w:tc>
        <w:tc>
          <w:tcPr>
            <w:tcW w:w="850" w:type="dxa"/>
          </w:tcPr>
          <w:p w:rsidR="00B0268C" w:rsidRDefault="00B0268C">
            <w:pPr>
              <w:pStyle w:val="TableParagraph"/>
              <w:spacing w:before="1"/>
              <w:rPr>
                <w:rFonts w:ascii="Arial"/>
                <w:sz w:val="15"/>
              </w:rPr>
            </w:pPr>
          </w:p>
          <w:p w:rsidR="00B0268C" w:rsidRDefault="00C408FB">
            <w:pPr>
              <w:pStyle w:val="TableParagraph"/>
              <w:ind w:left="5"/>
              <w:jc w:val="center"/>
              <w:rPr>
                <w:rFonts w:ascii="Arial"/>
                <w:sz w:val="16"/>
              </w:rPr>
            </w:pPr>
            <w:r>
              <w:rPr>
                <w:rFonts w:ascii="Arial"/>
                <w:sz w:val="16"/>
              </w:rPr>
              <w:t>X</w:t>
            </w:r>
          </w:p>
        </w:tc>
        <w:tc>
          <w:tcPr>
            <w:tcW w:w="852" w:type="dxa"/>
            <w:shd w:val="clear" w:color="auto" w:fill="D9D9D9"/>
          </w:tcPr>
          <w:p w:rsidR="00B0268C" w:rsidRDefault="00B0268C">
            <w:pPr>
              <w:pStyle w:val="TableParagraph"/>
              <w:spacing w:before="1"/>
              <w:rPr>
                <w:rFonts w:ascii="Arial"/>
                <w:sz w:val="15"/>
              </w:rPr>
            </w:pPr>
          </w:p>
          <w:p w:rsidR="00B0268C" w:rsidRDefault="00C408FB">
            <w:pPr>
              <w:pStyle w:val="TableParagraph"/>
              <w:ind w:left="322"/>
              <w:rPr>
                <w:rFonts w:ascii="Arial"/>
                <w:sz w:val="16"/>
              </w:rPr>
            </w:pPr>
            <w:r>
              <w:rPr>
                <w:rFonts w:ascii="Arial"/>
                <w:sz w:val="16"/>
              </w:rPr>
              <w:t>X1</w:t>
            </w:r>
          </w:p>
        </w:tc>
        <w:tc>
          <w:tcPr>
            <w:tcW w:w="850" w:type="dxa"/>
          </w:tcPr>
          <w:p w:rsidR="00B0268C" w:rsidRDefault="00B0268C">
            <w:pPr>
              <w:pStyle w:val="TableParagraph"/>
              <w:spacing w:before="1"/>
              <w:rPr>
                <w:rFonts w:ascii="Arial"/>
                <w:sz w:val="15"/>
              </w:rPr>
            </w:pPr>
          </w:p>
          <w:p w:rsidR="00B0268C" w:rsidRDefault="00C408FB">
            <w:pPr>
              <w:pStyle w:val="TableParagraph"/>
              <w:ind w:left="4"/>
              <w:jc w:val="center"/>
              <w:rPr>
                <w:rFonts w:ascii="Arial"/>
                <w:sz w:val="16"/>
              </w:rPr>
            </w:pPr>
            <w:r>
              <w:rPr>
                <w:rFonts w:ascii="Arial"/>
                <w:sz w:val="16"/>
              </w:rPr>
              <w:t>X</w:t>
            </w:r>
          </w:p>
        </w:tc>
        <w:tc>
          <w:tcPr>
            <w:tcW w:w="852" w:type="dxa"/>
            <w:shd w:val="clear" w:color="auto" w:fill="D9D9D9"/>
          </w:tcPr>
          <w:p w:rsidR="00B0268C" w:rsidRDefault="00B0268C">
            <w:pPr>
              <w:pStyle w:val="TableParagraph"/>
              <w:spacing w:before="1"/>
              <w:rPr>
                <w:rFonts w:ascii="Arial"/>
                <w:sz w:val="15"/>
              </w:rPr>
            </w:pPr>
          </w:p>
          <w:p w:rsidR="00B0268C" w:rsidRDefault="00C408FB">
            <w:pPr>
              <w:pStyle w:val="TableParagraph"/>
              <w:ind w:left="322"/>
              <w:rPr>
                <w:rFonts w:ascii="Arial"/>
                <w:sz w:val="16"/>
              </w:rPr>
            </w:pPr>
            <w:r>
              <w:rPr>
                <w:rFonts w:ascii="Arial"/>
                <w:sz w:val="16"/>
              </w:rPr>
              <w:t>X1</w:t>
            </w:r>
          </w:p>
        </w:tc>
        <w:tc>
          <w:tcPr>
            <w:tcW w:w="737" w:type="dxa"/>
          </w:tcPr>
          <w:p w:rsidR="00B0268C" w:rsidRDefault="00B0268C">
            <w:pPr>
              <w:pStyle w:val="TableParagraph"/>
              <w:spacing w:before="1"/>
              <w:rPr>
                <w:rFonts w:ascii="Arial"/>
                <w:sz w:val="15"/>
              </w:rPr>
            </w:pPr>
          </w:p>
          <w:p w:rsidR="00B0268C" w:rsidRDefault="00C408FB">
            <w:pPr>
              <w:pStyle w:val="TableParagraph"/>
              <w:jc w:val="center"/>
              <w:rPr>
                <w:rFonts w:ascii="Arial"/>
                <w:sz w:val="16"/>
              </w:rPr>
            </w:pPr>
            <w:r>
              <w:rPr>
                <w:rFonts w:ascii="Arial"/>
                <w:sz w:val="16"/>
              </w:rPr>
              <w:t>X</w:t>
            </w:r>
          </w:p>
        </w:tc>
        <w:tc>
          <w:tcPr>
            <w:tcW w:w="849" w:type="dxa"/>
            <w:shd w:val="clear" w:color="auto" w:fill="D9D9D9"/>
          </w:tcPr>
          <w:p w:rsidR="00B0268C" w:rsidRDefault="00B0268C">
            <w:pPr>
              <w:pStyle w:val="TableParagraph"/>
              <w:spacing w:before="1"/>
              <w:rPr>
                <w:rFonts w:ascii="Arial"/>
                <w:sz w:val="15"/>
              </w:rPr>
            </w:pPr>
          </w:p>
          <w:p w:rsidR="00B0268C" w:rsidRDefault="00C408FB">
            <w:pPr>
              <w:pStyle w:val="TableParagraph"/>
              <w:ind w:left="191" w:right="191"/>
              <w:jc w:val="center"/>
              <w:rPr>
                <w:rFonts w:ascii="Arial"/>
                <w:sz w:val="16"/>
              </w:rPr>
            </w:pPr>
            <w:r>
              <w:rPr>
                <w:rFonts w:ascii="Arial"/>
                <w:sz w:val="16"/>
              </w:rPr>
              <w:t>X1</w:t>
            </w:r>
          </w:p>
        </w:tc>
        <w:tc>
          <w:tcPr>
            <w:tcW w:w="823" w:type="dxa"/>
          </w:tcPr>
          <w:p w:rsidR="00B0268C" w:rsidRDefault="00C408FB">
            <w:pPr>
              <w:pStyle w:val="TableParagraph"/>
              <w:spacing w:before="173"/>
              <w:ind w:left="141" w:right="138"/>
              <w:jc w:val="center"/>
              <w:rPr>
                <w:rFonts w:ascii="Arial"/>
                <w:sz w:val="16"/>
              </w:rPr>
            </w:pPr>
            <w:r>
              <w:rPr>
                <w:rFonts w:ascii="Arial"/>
                <w:sz w:val="16"/>
              </w:rPr>
              <w:t>X / X1</w:t>
            </w:r>
            <w:r>
              <w:rPr>
                <w:rFonts w:ascii="Arial"/>
                <w:sz w:val="16"/>
                <w:vertAlign w:val="superscript"/>
              </w:rPr>
              <w:t>5</w:t>
            </w:r>
          </w:p>
        </w:tc>
        <w:tc>
          <w:tcPr>
            <w:tcW w:w="991" w:type="dxa"/>
            <w:shd w:val="clear" w:color="auto" w:fill="D9D9D9"/>
          </w:tcPr>
          <w:p w:rsidR="00B0268C" w:rsidRDefault="00B0268C">
            <w:pPr>
              <w:pStyle w:val="TableParagraph"/>
              <w:spacing w:before="1"/>
              <w:rPr>
                <w:rFonts w:ascii="Arial"/>
                <w:sz w:val="15"/>
              </w:rPr>
            </w:pPr>
          </w:p>
          <w:p w:rsidR="00B0268C" w:rsidRDefault="00C408FB">
            <w:pPr>
              <w:pStyle w:val="TableParagraph"/>
              <w:ind w:left="264" w:right="264"/>
              <w:jc w:val="center"/>
              <w:rPr>
                <w:rFonts w:ascii="Arial"/>
                <w:sz w:val="16"/>
              </w:rPr>
            </w:pPr>
            <w:r>
              <w:rPr>
                <w:rFonts w:ascii="Arial"/>
                <w:sz w:val="16"/>
              </w:rPr>
              <w:t>X1</w:t>
            </w:r>
          </w:p>
        </w:tc>
      </w:tr>
      <w:tr w:rsidR="00B0268C">
        <w:trPr>
          <w:trHeight w:val="356"/>
        </w:trPr>
        <w:tc>
          <w:tcPr>
            <w:tcW w:w="2235" w:type="dxa"/>
          </w:tcPr>
          <w:p w:rsidR="00B0268C" w:rsidRDefault="00C408FB">
            <w:pPr>
              <w:pStyle w:val="TableParagraph"/>
              <w:spacing w:line="171" w:lineRule="exact"/>
              <w:ind w:left="107"/>
              <w:rPr>
                <w:rFonts w:ascii="Arial"/>
                <w:sz w:val="16"/>
              </w:rPr>
            </w:pPr>
            <w:r>
              <w:rPr>
                <w:rFonts w:ascii="Arial"/>
                <w:sz w:val="16"/>
              </w:rPr>
              <w:t>Standard Ophthalmic</w:t>
            </w:r>
          </w:p>
          <w:p w:rsidR="00B0268C" w:rsidRDefault="00C408FB">
            <w:pPr>
              <w:pStyle w:val="TableParagraph"/>
              <w:spacing w:before="1" w:line="166" w:lineRule="exact"/>
              <w:ind w:left="107"/>
              <w:rPr>
                <w:rFonts w:ascii="Arial"/>
                <w:sz w:val="16"/>
              </w:rPr>
            </w:pPr>
            <w:r>
              <w:rPr>
                <w:rFonts w:ascii="Arial"/>
                <w:sz w:val="16"/>
              </w:rPr>
              <w:t>Examination</w:t>
            </w:r>
          </w:p>
        </w:tc>
        <w:tc>
          <w:tcPr>
            <w:tcW w:w="1023" w:type="dxa"/>
            <w:shd w:val="clear" w:color="auto" w:fill="D9D9D9"/>
          </w:tcPr>
          <w:p w:rsidR="00B0268C" w:rsidRDefault="00C408FB">
            <w:pPr>
              <w:pStyle w:val="TableParagraph"/>
              <w:spacing w:before="78"/>
              <w:ind w:left="5"/>
              <w:jc w:val="center"/>
              <w:rPr>
                <w:rFonts w:ascii="Arial"/>
                <w:sz w:val="16"/>
              </w:rPr>
            </w:pPr>
            <w:r>
              <w:rPr>
                <w:rFonts w:ascii="Arial"/>
                <w:sz w:val="16"/>
              </w:rPr>
              <w:t>X</w:t>
            </w:r>
          </w:p>
        </w:tc>
        <w:tc>
          <w:tcPr>
            <w:tcW w:w="680" w:type="dxa"/>
            <w:shd w:val="clear" w:color="auto" w:fill="D9D9D9"/>
          </w:tcPr>
          <w:p w:rsidR="00B0268C" w:rsidRDefault="00C408FB">
            <w:pPr>
              <w:pStyle w:val="TableParagraph"/>
              <w:spacing w:before="78"/>
              <w:ind w:left="6"/>
              <w:jc w:val="center"/>
              <w:rPr>
                <w:rFonts w:ascii="Arial"/>
                <w:sz w:val="16"/>
              </w:rPr>
            </w:pPr>
            <w:r>
              <w:rPr>
                <w:rFonts w:ascii="Arial"/>
                <w:sz w:val="16"/>
              </w:rPr>
              <w:t>X</w:t>
            </w:r>
          </w:p>
        </w:tc>
        <w:tc>
          <w:tcPr>
            <w:tcW w:w="850" w:type="dxa"/>
          </w:tcPr>
          <w:p w:rsidR="00B0268C" w:rsidRDefault="00C408FB">
            <w:pPr>
              <w:pStyle w:val="TableParagraph"/>
              <w:spacing w:before="78"/>
              <w:ind w:left="7"/>
              <w:jc w:val="center"/>
              <w:rPr>
                <w:rFonts w:ascii="Arial"/>
                <w:sz w:val="16"/>
              </w:rPr>
            </w:pPr>
            <w:r>
              <w:rPr>
                <w:rFonts w:ascii="Arial"/>
                <w:sz w:val="16"/>
              </w:rPr>
              <w:t>X</w:t>
            </w:r>
          </w:p>
        </w:tc>
        <w:tc>
          <w:tcPr>
            <w:tcW w:w="711" w:type="dxa"/>
          </w:tcPr>
          <w:p w:rsidR="00B0268C" w:rsidRDefault="00C408FB">
            <w:pPr>
              <w:pStyle w:val="TableParagraph"/>
              <w:spacing w:before="78"/>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78"/>
              <w:ind w:left="2"/>
              <w:jc w:val="center"/>
              <w:rPr>
                <w:rFonts w:ascii="Arial"/>
                <w:sz w:val="16"/>
              </w:rPr>
            </w:pPr>
            <w:r>
              <w:rPr>
                <w:rFonts w:ascii="Arial"/>
                <w:sz w:val="16"/>
              </w:rPr>
              <w:t>X</w:t>
            </w:r>
          </w:p>
        </w:tc>
        <w:tc>
          <w:tcPr>
            <w:tcW w:w="850" w:type="dxa"/>
          </w:tcPr>
          <w:p w:rsidR="00B0268C" w:rsidRDefault="00C408FB">
            <w:pPr>
              <w:pStyle w:val="TableParagraph"/>
              <w:spacing w:before="78"/>
              <w:ind w:left="6"/>
              <w:jc w:val="center"/>
              <w:rPr>
                <w:rFonts w:ascii="Arial"/>
                <w:sz w:val="16"/>
              </w:rPr>
            </w:pPr>
            <w:r>
              <w:rPr>
                <w:rFonts w:ascii="Arial"/>
                <w:sz w:val="16"/>
              </w:rPr>
              <w:t>X</w:t>
            </w:r>
          </w:p>
        </w:tc>
        <w:tc>
          <w:tcPr>
            <w:tcW w:w="852" w:type="dxa"/>
          </w:tcPr>
          <w:p w:rsidR="00B0268C" w:rsidRDefault="00C408FB">
            <w:pPr>
              <w:pStyle w:val="TableParagraph"/>
              <w:spacing w:before="78"/>
              <w:ind w:left="368"/>
              <w:rPr>
                <w:rFonts w:ascii="Arial"/>
                <w:sz w:val="16"/>
              </w:rPr>
            </w:pPr>
            <w:r>
              <w:rPr>
                <w:rFonts w:ascii="Arial"/>
                <w:sz w:val="16"/>
              </w:rPr>
              <w:t>X</w:t>
            </w:r>
          </w:p>
        </w:tc>
        <w:tc>
          <w:tcPr>
            <w:tcW w:w="850" w:type="dxa"/>
            <w:shd w:val="clear" w:color="auto" w:fill="D9D9D9"/>
          </w:tcPr>
          <w:p w:rsidR="00B0268C" w:rsidRDefault="00C408FB">
            <w:pPr>
              <w:pStyle w:val="TableParagraph"/>
              <w:spacing w:before="78"/>
              <w:jc w:val="center"/>
              <w:rPr>
                <w:rFonts w:ascii="Arial"/>
                <w:sz w:val="16"/>
              </w:rPr>
            </w:pPr>
            <w:r>
              <w:rPr>
                <w:rFonts w:ascii="Arial"/>
                <w:sz w:val="16"/>
              </w:rPr>
              <w:t>X</w:t>
            </w:r>
          </w:p>
        </w:tc>
        <w:tc>
          <w:tcPr>
            <w:tcW w:w="850" w:type="dxa"/>
          </w:tcPr>
          <w:p w:rsidR="00B0268C" w:rsidRDefault="00C408FB">
            <w:pPr>
              <w:pStyle w:val="TableParagraph"/>
              <w:spacing w:before="78"/>
              <w:ind w:left="5"/>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78"/>
              <w:ind w:left="368"/>
              <w:rPr>
                <w:rFonts w:ascii="Arial"/>
                <w:sz w:val="16"/>
              </w:rPr>
            </w:pPr>
            <w:r>
              <w:rPr>
                <w:rFonts w:ascii="Arial"/>
                <w:sz w:val="16"/>
              </w:rPr>
              <w:t>X</w:t>
            </w:r>
          </w:p>
        </w:tc>
        <w:tc>
          <w:tcPr>
            <w:tcW w:w="850" w:type="dxa"/>
          </w:tcPr>
          <w:p w:rsidR="00B0268C" w:rsidRDefault="00C408FB">
            <w:pPr>
              <w:pStyle w:val="TableParagraph"/>
              <w:spacing w:before="78"/>
              <w:ind w:left="4"/>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78"/>
              <w:ind w:left="368"/>
              <w:rPr>
                <w:rFonts w:ascii="Arial"/>
                <w:sz w:val="16"/>
              </w:rPr>
            </w:pPr>
            <w:r>
              <w:rPr>
                <w:rFonts w:ascii="Arial"/>
                <w:sz w:val="16"/>
              </w:rPr>
              <w:t>X</w:t>
            </w:r>
          </w:p>
        </w:tc>
        <w:tc>
          <w:tcPr>
            <w:tcW w:w="737" w:type="dxa"/>
          </w:tcPr>
          <w:p w:rsidR="00B0268C" w:rsidRDefault="00C408FB">
            <w:pPr>
              <w:pStyle w:val="TableParagraph"/>
              <w:spacing w:before="78"/>
              <w:jc w:val="center"/>
              <w:rPr>
                <w:rFonts w:ascii="Arial"/>
                <w:sz w:val="16"/>
              </w:rPr>
            </w:pPr>
            <w:r>
              <w:rPr>
                <w:rFonts w:ascii="Arial"/>
                <w:sz w:val="16"/>
              </w:rPr>
              <w:t>X</w:t>
            </w:r>
          </w:p>
        </w:tc>
        <w:tc>
          <w:tcPr>
            <w:tcW w:w="849" w:type="dxa"/>
            <w:shd w:val="clear" w:color="auto" w:fill="D9D9D9"/>
          </w:tcPr>
          <w:p w:rsidR="00B0268C" w:rsidRDefault="00C408FB">
            <w:pPr>
              <w:pStyle w:val="TableParagraph"/>
              <w:spacing w:before="78"/>
              <w:ind w:left="5"/>
              <w:jc w:val="center"/>
              <w:rPr>
                <w:rFonts w:ascii="Arial"/>
                <w:sz w:val="16"/>
              </w:rPr>
            </w:pPr>
            <w:r>
              <w:rPr>
                <w:rFonts w:ascii="Arial"/>
                <w:sz w:val="16"/>
              </w:rPr>
              <w:t>X</w:t>
            </w:r>
          </w:p>
        </w:tc>
        <w:tc>
          <w:tcPr>
            <w:tcW w:w="823" w:type="dxa"/>
          </w:tcPr>
          <w:p w:rsidR="00B0268C" w:rsidRDefault="00C408FB">
            <w:pPr>
              <w:pStyle w:val="TableParagraph"/>
              <w:spacing w:before="78"/>
              <w:ind w:left="3"/>
              <w:jc w:val="center"/>
              <w:rPr>
                <w:rFonts w:ascii="Arial"/>
                <w:sz w:val="16"/>
              </w:rPr>
            </w:pPr>
            <w:r>
              <w:rPr>
                <w:rFonts w:ascii="Arial"/>
                <w:sz w:val="16"/>
              </w:rPr>
              <w:t>X</w:t>
            </w:r>
          </w:p>
        </w:tc>
        <w:tc>
          <w:tcPr>
            <w:tcW w:w="991" w:type="dxa"/>
            <w:shd w:val="clear" w:color="auto" w:fill="D9D9D9"/>
          </w:tcPr>
          <w:p w:rsidR="00B0268C" w:rsidRDefault="00C408FB">
            <w:pPr>
              <w:pStyle w:val="TableParagraph"/>
              <w:spacing w:before="78"/>
              <w:ind w:left="4"/>
              <w:jc w:val="center"/>
              <w:rPr>
                <w:rFonts w:ascii="Arial"/>
                <w:sz w:val="16"/>
              </w:rPr>
            </w:pPr>
            <w:r>
              <w:rPr>
                <w:rFonts w:ascii="Arial"/>
                <w:sz w:val="16"/>
              </w:rPr>
              <w:t>X</w:t>
            </w:r>
          </w:p>
        </w:tc>
      </w:tr>
      <w:tr w:rsidR="00B0268C">
        <w:trPr>
          <w:trHeight w:val="244"/>
        </w:trPr>
        <w:tc>
          <w:tcPr>
            <w:tcW w:w="2235" w:type="dxa"/>
          </w:tcPr>
          <w:p w:rsidR="00B0268C" w:rsidRDefault="00C408FB">
            <w:pPr>
              <w:pStyle w:val="TableParagraph"/>
              <w:spacing w:before="25"/>
              <w:ind w:left="107"/>
              <w:rPr>
                <w:rFonts w:ascii="Arial"/>
                <w:sz w:val="16"/>
              </w:rPr>
            </w:pPr>
            <w:r>
              <w:rPr>
                <w:rFonts w:ascii="Arial"/>
                <w:sz w:val="16"/>
              </w:rPr>
              <w:t>SD-OCT in both eyes</w:t>
            </w:r>
          </w:p>
        </w:tc>
        <w:tc>
          <w:tcPr>
            <w:tcW w:w="1023" w:type="dxa"/>
            <w:shd w:val="clear" w:color="auto" w:fill="D9D9D9"/>
          </w:tcPr>
          <w:p w:rsidR="00B0268C" w:rsidRDefault="00C408FB">
            <w:pPr>
              <w:pStyle w:val="TableParagraph"/>
              <w:spacing w:before="25"/>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6"/>
              </w:rPr>
            </w:pPr>
          </w:p>
        </w:tc>
        <w:tc>
          <w:tcPr>
            <w:tcW w:w="850" w:type="dxa"/>
          </w:tcPr>
          <w:p w:rsidR="00B0268C" w:rsidRDefault="00C408FB">
            <w:pPr>
              <w:pStyle w:val="TableParagraph"/>
              <w:spacing w:before="25"/>
              <w:ind w:left="7"/>
              <w:jc w:val="center"/>
              <w:rPr>
                <w:rFonts w:ascii="Arial"/>
                <w:sz w:val="16"/>
              </w:rPr>
            </w:pPr>
            <w:r>
              <w:rPr>
                <w:rFonts w:ascii="Arial"/>
                <w:sz w:val="16"/>
              </w:rPr>
              <w:t>X</w:t>
            </w:r>
          </w:p>
        </w:tc>
        <w:tc>
          <w:tcPr>
            <w:tcW w:w="711" w:type="dxa"/>
          </w:tcPr>
          <w:p w:rsidR="00B0268C" w:rsidRDefault="00C408FB">
            <w:pPr>
              <w:pStyle w:val="TableParagraph"/>
              <w:spacing w:before="25"/>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25"/>
              <w:ind w:left="2"/>
              <w:jc w:val="center"/>
              <w:rPr>
                <w:rFonts w:ascii="Arial"/>
                <w:sz w:val="16"/>
              </w:rPr>
            </w:pPr>
            <w:r>
              <w:rPr>
                <w:rFonts w:ascii="Arial"/>
                <w:sz w:val="16"/>
              </w:rPr>
              <w:t>X</w:t>
            </w:r>
          </w:p>
        </w:tc>
        <w:tc>
          <w:tcPr>
            <w:tcW w:w="850" w:type="dxa"/>
          </w:tcPr>
          <w:p w:rsidR="00B0268C" w:rsidRDefault="00C408FB">
            <w:pPr>
              <w:pStyle w:val="TableParagraph"/>
              <w:spacing w:before="25"/>
              <w:ind w:left="6"/>
              <w:jc w:val="center"/>
              <w:rPr>
                <w:rFonts w:ascii="Arial"/>
                <w:sz w:val="16"/>
              </w:rPr>
            </w:pPr>
            <w:r>
              <w:rPr>
                <w:rFonts w:ascii="Arial"/>
                <w:sz w:val="16"/>
              </w:rPr>
              <w:t>X</w:t>
            </w:r>
          </w:p>
        </w:tc>
        <w:tc>
          <w:tcPr>
            <w:tcW w:w="852" w:type="dxa"/>
          </w:tcPr>
          <w:p w:rsidR="00B0268C" w:rsidRDefault="00C408FB">
            <w:pPr>
              <w:pStyle w:val="TableParagraph"/>
              <w:spacing w:before="25"/>
              <w:ind w:left="368"/>
              <w:rPr>
                <w:rFonts w:ascii="Arial"/>
                <w:sz w:val="16"/>
              </w:rPr>
            </w:pPr>
            <w:r>
              <w:rPr>
                <w:rFonts w:ascii="Arial"/>
                <w:sz w:val="16"/>
              </w:rPr>
              <w:t>X</w:t>
            </w:r>
          </w:p>
        </w:tc>
        <w:tc>
          <w:tcPr>
            <w:tcW w:w="850" w:type="dxa"/>
            <w:shd w:val="clear" w:color="auto" w:fill="D9D9D9"/>
          </w:tcPr>
          <w:p w:rsidR="00B0268C" w:rsidRDefault="00C408FB">
            <w:pPr>
              <w:pStyle w:val="TableParagraph"/>
              <w:spacing w:before="25"/>
              <w:jc w:val="center"/>
              <w:rPr>
                <w:rFonts w:ascii="Arial"/>
                <w:sz w:val="16"/>
              </w:rPr>
            </w:pPr>
            <w:r>
              <w:rPr>
                <w:rFonts w:ascii="Arial"/>
                <w:sz w:val="16"/>
              </w:rPr>
              <w:t>X</w:t>
            </w:r>
          </w:p>
        </w:tc>
        <w:tc>
          <w:tcPr>
            <w:tcW w:w="850" w:type="dxa"/>
          </w:tcPr>
          <w:p w:rsidR="00B0268C" w:rsidRDefault="00C408FB">
            <w:pPr>
              <w:pStyle w:val="TableParagraph"/>
              <w:spacing w:before="25"/>
              <w:ind w:left="5"/>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25"/>
              <w:ind w:left="368"/>
              <w:rPr>
                <w:rFonts w:ascii="Arial"/>
                <w:sz w:val="16"/>
              </w:rPr>
            </w:pPr>
            <w:r>
              <w:rPr>
                <w:rFonts w:ascii="Arial"/>
                <w:sz w:val="16"/>
              </w:rPr>
              <w:t>X</w:t>
            </w:r>
          </w:p>
        </w:tc>
        <w:tc>
          <w:tcPr>
            <w:tcW w:w="850" w:type="dxa"/>
          </w:tcPr>
          <w:p w:rsidR="00B0268C" w:rsidRDefault="00C408FB">
            <w:pPr>
              <w:pStyle w:val="TableParagraph"/>
              <w:spacing w:before="25"/>
              <w:ind w:left="4"/>
              <w:jc w:val="center"/>
              <w:rPr>
                <w:rFonts w:ascii="Arial"/>
                <w:sz w:val="16"/>
              </w:rPr>
            </w:pPr>
            <w:r>
              <w:rPr>
                <w:rFonts w:ascii="Arial"/>
                <w:sz w:val="16"/>
              </w:rPr>
              <w:t>X</w:t>
            </w:r>
          </w:p>
        </w:tc>
        <w:tc>
          <w:tcPr>
            <w:tcW w:w="852" w:type="dxa"/>
            <w:shd w:val="clear" w:color="auto" w:fill="D9D9D9"/>
          </w:tcPr>
          <w:p w:rsidR="00B0268C" w:rsidRDefault="00C408FB">
            <w:pPr>
              <w:pStyle w:val="TableParagraph"/>
              <w:spacing w:before="25"/>
              <w:ind w:left="368"/>
              <w:rPr>
                <w:rFonts w:ascii="Arial"/>
                <w:sz w:val="16"/>
              </w:rPr>
            </w:pPr>
            <w:r>
              <w:rPr>
                <w:rFonts w:ascii="Arial"/>
                <w:sz w:val="16"/>
              </w:rPr>
              <w:t>X</w:t>
            </w:r>
          </w:p>
        </w:tc>
        <w:tc>
          <w:tcPr>
            <w:tcW w:w="737" w:type="dxa"/>
          </w:tcPr>
          <w:p w:rsidR="00B0268C" w:rsidRDefault="00C408FB">
            <w:pPr>
              <w:pStyle w:val="TableParagraph"/>
              <w:spacing w:before="25"/>
              <w:jc w:val="center"/>
              <w:rPr>
                <w:rFonts w:ascii="Arial"/>
                <w:sz w:val="16"/>
              </w:rPr>
            </w:pPr>
            <w:r>
              <w:rPr>
                <w:rFonts w:ascii="Arial"/>
                <w:sz w:val="16"/>
              </w:rPr>
              <w:t>X</w:t>
            </w:r>
          </w:p>
        </w:tc>
        <w:tc>
          <w:tcPr>
            <w:tcW w:w="849" w:type="dxa"/>
            <w:shd w:val="clear" w:color="auto" w:fill="D9D9D9"/>
          </w:tcPr>
          <w:p w:rsidR="00B0268C" w:rsidRDefault="00C408FB">
            <w:pPr>
              <w:pStyle w:val="TableParagraph"/>
              <w:spacing w:before="25"/>
              <w:ind w:left="5"/>
              <w:jc w:val="center"/>
              <w:rPr>
                <w:rFonts w:ascii="Arial"/>
                <w:sz w:val="16"/>
              </w:rPr>
            </w:pPr>
            <w:r>
              <w:rPr>
                <w:rFonts w:ascii="Arial"/>
                <w:sz w:val="16"/>
              </w:rPr>
              <w:t>X</w:t>
            </w:r>
          </w:p>
        </w:tc>
        <w:tc>
          <w:tcPr>
            <w:tcW w:w="823" w:type="dxa"/>
          </w:tcPr>
          <w:p w:rsidR="00B0268C" w:rsidRDefault="00C408FB">
            <w:pPr>
              <w:pStyle w:val="TableParagraph"/>
              <w:spacing w:before="25"/>
              <w:ind w:left="3"/>
              <w:jc w:val="center"/>
              <w:rPr>
                <w:rFonts w:ascii="Arial"/>
                <w:sz w:val="16"/>
              </w:rPr>
            </w:pPr>
            <w:r>
              <w:rPr>
                <w:rFonts w:ascii="Arial"/>
                <w:sz w:val="16"/>
              </w:rPr>
              <w:t>X</w:t>
            </w:r>
          </w:p>
        </w:tc>
        <w:tc>
          <w:tcPr>
            <w:tcW w:w="991" w:type="dxa"/>
            <w:shd w:val="clear" w:color="auto" w:fill="D9D9D9"/>
          </w:tcPr>
          <w:p w:rsidR="00B0268C" w:rsidRDefault="00C408FB">
            <w:pPr>
              <w:pStyle w:val="TableParagraph"/>
              <w:spacing w:before="25"/>
              <w:ind w:left="4"/>
              <w:jc w:val="center"/>
              <w:rPr>
                <w:rFonts w:ascii="Arial"/>
                <w:sz w:val="16"/>
              </w:rPr>
            </w:pPr>
            <w:r>
              <w:rPr>
                <w:rFonts w:ascii="Arial"/>
                <w:sz w:val="16"/>
              </w:rPr>
              <w:t>X</w:t>
            </w:r>
          </w:p>
        </w:tc>
      </w:tr>
      <w:tr w:rsidR="00B0268C">
        <w:trPr>
          <w:trHeight w:val="245"/>
        </w:trPr>
        <w:tc>
          <w:tcPr>
            <w:tcW w:w="2235" w:type="dxa"/>
          </w:tcPr>
          <w:p w:rsidR="00B0268C" w:rsidRDefault="00C408FB">
            <w:pPr>
              <w:pStyle w:val="TableParagraph"/>
              <w:spacing w:before="27"/>
              <w:ind w:left="107"/>
              <w:rPr>
                <w:rFonts w:ascii="Arial"/>
                <w:sz w:val="16"/>
              </w:rPr>
            </w:pPr>
            <w:r>
              <w:rPr>
                <w:rFonts w:ascii="Arial"/>
                <w:sz w:val="16"/>
              </w:rPr>
              <w:t>7-field or wide-angle CFP</w:t>
            </w:r>
            <w:r>
              <w:rPr>
                <w:rFonts w:ascii="Arial"/>
                <w:sz w:val="16"/>
                <w:vertAlign w:val="superscript"/>
              </w:rPr>
              <w:t>2</w:t>
            </w:r>
          </w:p>
        </w:tc>
        <w:tc>
          <w:tcPr>
            <w:tcW w:w="1023" w:type="dxa"/>
            <w:shd w:val="clear" w:color="auto" w:fill="D9D9D9"/>
          </w:tcPr>
          <w:p w:rsidR="00B0268C" w:rsidRDefault="00C408FB">
            <w:pPr>
              <w:pStyle w:val="TableParagraph"/>
              <w:spacing w:before="27"/>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C408FB">
            <w:pPr>
              <w:pStyle w:val="TableParagraph"/>
              <w:spacing w:before="27"/>
              <w:ind w:left="368"/>
              <w:rPr>
                <w:rFonts w:ascii="Arial"/>
                <w:sz w:val="16"/>
              </w:rPr>
            </w:pPr>
            <w:r>
              <w:rPr>
                <w:rFonts w:ascii="Arial"/>
                <w:sz w:val="16"/>
              </w:rPr>
              <w:t>X</w:t>
            </w: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C408FB">
            <w:pPr>
              <w:pStyle w:val="TableParagraph"/>
              <w:spacing w:before="27"/>
              <w:ind w:left="5"/>
              <w:jc w:val="center"/>
              <w:rPr>
                <w:rFonts w:ascii="Arial"/>
                <w:sz w:val="16"/>
              </w:rPr>
            </w:pPr>
            <w:r>
              <w:rPr>
                <w:rFonts w:ascii="Arial"/>
                <w:sz w:val="16"/>
              </w:rPr>
              <w:t>X</w:t>
            </w:r>
          </w:p>
        </w:tc>
        <w:tc>
          <w:tcPr>
            <w:tcW w:w="823" w:type="dxa"/>
          </w:tcPr>
          <w:p w:rsidR="00B0268C" w:rsidRDefault="00C408FB">
            <w:pPr>
              <w:pStyle w:val="TableParagraph"/>
              <w:spacing w:before="27"/>
              <w:ind w:left="141" w:right="136"/>
              <w:jc w:val="center"/>
              <w:rPr>
                <w:rFonts w:ascii="Arial"/>
                <w:sz w:val="16"/>
              </w:rPr>
            </w:pPr>
            <w:r>
              <w:rPr>
                <w:rFonts w:ascii="Arial"/>
                <w:sz w:val="16"/>
              </w:rPr>
              <w:t>+/-</w:t>
            </w:r>
            <w:r>
              <w:rPr>
                <w:rFonts w:ascii="Arial"/>
                <w:sz w:val="16"/>
                <w:vertAlign w:val="superscript"/>
              </w:rPr>
              <w:t>5</w:t>
            </w:r>
          </w:p>
        </w:tc>
        <w:tc>
          <w:tcPr>
            <w:tcW w:w="991" w:type="dxa"/>
            <w:shd w:val="clear" w:color="auto" w:fill="D9D9D9"/>
          </w:tcPr>
          <w:p w:rsidR="00B0268C" w:rsidRDefault="00C408FB">
            <w:pPr>
              <w:pStyle w:val="TableParagraph"/>
              <w:spacing w:before="27"/>
              <w:ind w:left="4"/>
              <w:jc w:val="center"/>
              <w:rPr>
                <w:rFonts w:ascii="Arial"/>
                <w:sz w:val="16"/>
              </w:rPr>
            </w:pPr>
            <w:r>
              <w:rPr>
                <w:rFonts w:ascii="Arial"/>
                <w:sz w:val="16"/>
              </w:rPr>
              <w:t>X</w:t>
            </w:r>
          </w:p>
        </w:tc>
      </w:tr>
      <w:tr w:rsidR="00B0268C">
        <w:trPr>
          <w:trHeight w:val="253"/>
        </w:trPr>
        <w:tc>
          <w:tcPr>
            <w:tcW w:w="2235" w:type="dxa"/>
          </w:tcPr>
          <w:p w:rsidR="00B0268C" w:rsidRDefault="00C408FB">
            <w:pPr>
              <w:pStyle w:val="TableParagraph"/>
              <w:spacing w:before="32"/>
              <w:ind w:left="107"/>
              <w:rPr>
                <w:rFonts w:ascii="Arial"/>
                <w:sz w:val="16"/>
              </w:rPr>
            </w:pPr>
            <w:r>
              <w:rPr>
                <w:rFonts w:ascii="Arial"/>
                <w:sz w:val="16"/>
              </w:rPr>
              <w:t>7-field or wide angle FFA</w:t>
            </w:r>
            <w:r>
              <w:rPr>
                <w:rFonts w:ascii="Arial"/>
                <w:sz w:val="16"/>
                <w:vertAlign w:val="superscript"/>
              </w:rPr>
              <w:t>2</w:t>
            </w:r>
          </w:p>
        </w:tc>
        <w:tc>
          <w:tcPr>
            <w:tcW w:w="1023"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C408FB">
            <w:pPr>
              <w:pStyle w:val="TableParagraph"/>
              <w:spacing w:before="32"/>
              <w:ind w:left="7"/>
              <w:jc w:val="center"/>
              <w:rPr>
                <w:rFonts w:ascii="Arial"/>
                <w:sz w:val="16"/>
              </w:rPr>
            </w:pPr>
            <w:r>
              <w:rPr>
                <w:rFonts w:ascii="Arial"/>
                <w:sz w:val="16"/>
              </w:rPr>
              <w:t>x</w:t>
            </w:r>
          </w:p>
        </w:tc>
        <w:tc>
          <w:tcPr>
            <w:tcW w:w="823" w:type="dxa"/>
          </w:tcPr>
          <w:p w:rsidR="00B0268C" w:rsidRDefault="00C408FB">
            <w:pPr>
              <w:pStyle w:val="TableParagraph"/>
              <w:spacing w:before="32"/>
              <w:ind w:left="141" w:right="136"/>
              <w:jc w:val="center"/>
              <w:rPr>
                <w:rFonts w:ascii="Arial"/>
                <w:sz w:val="16"/>
              </w:rPr>
            </w:pPr>
            <w:r>
              <w:rPr>
                <w:rFonts w:ascii="Arial"/>
                <w:sz w:val="16"/>
              </w:rPr>
              <w:t>+/-</w:t>
            </w:r>
            <w:r>
              <w:rPr>
                <w:rFonts w:ascii="Arial"/>
                <w:sz w:val="16"/>
                <w:vertAlign w:val="superscript"/>
              </w:rPr>
              <w:t>5</w:t>
            </w:r>
          </w:p>
        </w:tc>
        <w:tc>
          <w:tcPr>
            <w:tcW w:w="991" w:type="dxa"/>
            <w:shd w:val="clear" w:color="auto" w:fill="D9D9D9"/>
          </w:tcPr>
          <w:p w:rsidR="00B0268C" w:rsidRDefault="00C408FB">
            <w:pPr>
              <w:pStyle w:val="TableParagraph"/>
              <w:spacing w:before="32"/>
              <w:ind w:left="4"/>
              <w:jc w:val="center"/>
              <w:rPr>
                <w:rFonts w:ascii="Arial"/>
                <w:sz w:val="16"/>
              </w:rPr>
            </w:pPr>
            <w:r>
              <w:rPr>
                <w:rFonts w:ascii="Arial"/>
                <w:sz w:val="16"/>
              </w:rPr>
              <w:t>X</w:t>
            </w:r>
          </w:p>
        </w:tc>
      </w:tr>
      <w:tr w:rsidR="00B0268C">
        <w:trPr>
          <w:trHeight w:val="369"/>
        </w:trPr>
        <w:tc>
          <w:tcPr>
            <w:tcW w:w="2235" w:type="dxa"/>
          </w:tcPr>
          <w:p w:rsidR="00B0268C" w:rsidRDefault="00C408FB">
            <w:pPr>
              <w:pStyle w:val="TableParagraph"/>
              <w:spacing w:before="3" w:line="182" w:lineRule="exact"/>
              <w:ind w:left="107" w:right="221"/>
              <w:rPr>
                <w:rFonts w:ascii="Arial" w:hAnsi="Arial"/>
                <w:sz w:val="16"/>
              </w:rPr>
            </w:pPr>
            <w:r>
              <w:rPr>
                <w:rFonts w:ascii="Arial" w:hAnsi="Arial"/>
                <w:sz w:val="16"/>
              </w:rPr>
              <w:t>VFQ-25 and EQ-5D with and without vision ‘bolt-on’</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C408FB">
            <w:pPr>
              <w:pStyle w:val="TableParagraph"/>
              <w:spacing w:before="89"/>
              <w:ind w:left="6"/>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C408FB">
            <w:pPr>
              <w:pStyle w:val="TableParagraph"/>
              <w:spacing w:before="89"/>
              <w:ind w:left="2"/>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C408FB">
            <w:pPr>
              <w:pStyle w:val="TableParagraph"/>
              <w:spacing w:before="89"/>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852" w:type="dxa"/>
            <w:shd w:val="clear" w:color="auto" w:fill="D9D9D9"/>
          </w:tcPr>
          <w:p w:rsidR="00B0268C" w:rsidRDefault="00C408FB">
            <w:pPr>
              <w:pStyle w:val="TableParagraph"/>
              <w:spacing w:before="89"/>
              <w:ind w:left="368"/>
              <w:rPr>
                <w:rFonts w:ascii="Arial"/>
                <w:sz w:val="16"/>
              </w:rPr>
            </w:pPr>
            <w:r>
              <w:rPr>
                <w:rFonts w:ascii="Arial"/>
                <w:sz w:val="16"/>
              </w:rPr>
              <w:t>X</w:t>
            </w:r>
          </w:p>
        </w:tc>
        <w:tc>
          <w:tcPr>
            <w:tcW w:w="850" w:type="dxa"/>
          </w:tcPr>
          <w:p w:rsidR="00B0268C" w:rsidRDefault="00B0268C">
            <w:pPr>
              <w:pStyle w:val="TableParagraph"/>
              <w:rPr>
                <w:sz w:val="16"/>
              </w:rPr>
            </w:pPr>
          </w:p>
        </w:tc>
        <w:tc>
          <w:tcPr>
            <w:tcW w:w="852" w:type="dxa"/>
            <w:shd w:val="clear" w:color="auto" w:fill="D9D9D9"/>
          </w:tcPr>
          <w:p w:rsidR="00B0268C" w:rsidRDefault="00C408FB">
            <w:pPr>
              <w:pStyle w:val="TableParagraph"/>
              <w:spacing w:before="89"/>
              <w:ind w:left="368"/>
              <w:rPr>
                <w:rFonts w:ascii="Arial"/>
                <w:sz w:val="16"/>
              </w:rPr>
            </w:pPr>
            <w:r>
              <w:rPr>
                <w:rFonts w:ascii="Arial"/>
                <w:sz w:val="16"/>
              </w:rPr>
              <w:t>X</w:t>
            </w:r>
          </w:p>
        </w:tc>
        <w:tc>
          <w:tcPr>
            <w:tcW w:w="737" w:type="dxa"/>
          </w:tcPr>
          <w:p w:rsidR="00B0268C" w:rsidRDefault="00B0268C">
            <w:pPr>
              <w:pStyle w:val="TableParagraph"/>
              <w:rPr>
                <w:sz w:val="16"/>
              </w:rPr>
            </w:pPr>
          </w:p>
        </w:tc>
        <w:tc>
          <w:tcPr>
            <w:tcW w:w="849" w:type="dxa"/>
            <w:shd w:val="clear" w:color="auto" w:fill="D9D9D9"/>
          </w:tcPr>
          <w:p w:rsidR="00B0268C" w:rsidRDefault="00C408FB">
            <w:pPr>
              <w:pStyle w:val="TableParagraph"/>
              <w:spacing w:before="89"/>
              <w:ind w:left="5"/>
              <w:jc w:val="center"/>
              <w:rPr>
                <w:rFonts w:ascii="Arial"/>
                <w:sz w:val="16"/>
              </w:rPr>
            </w:pPr>
            <w:r>
              <w:rPr>
                <w:rFonts w:ascii="Arial"/>
                <w:sz w:val="16"/>
              </w:rPr>
              <w:t>X</w:t>
            </w:r>
          </w:p>
        </w:tc>
        <w:tc>
          <w:tcPr>
            <w:tcW w:w="823" w:type="dxa"/>
          </w:tcPr>
          <w:p w:rsidR="00B0268C" w:rsidRDefault="00C408FB">
            <w:pPr>
              <w:pStyle w:val="TableParagraph"/>
              <w:spacing w:before="89"/>
              <w:ind w:left="141" w:right="136"/>
              <w:jc w:val="center"/>
              <w:rPr>
                <w:rFonts w:ascii="Arial"/>
                <w:sz w:val="16"/>
              </w:rPr>
            </w:pPr>
            <w:r>
              <w:rPr>
                <w:rFonts w:ascii="Arial"/>
                <w:sz w:val="16"/>
              </w:rPr>
              <w:t>+/-</w:t>
            </w:r>
            <w:r>
              <w:rPr>
                <w:rFonts w:ascii="Arial"/>
                <w:sz w:val="16"/>
                <w:vertAlign w:val="superscript"/>
              </w:rPr>
              <w:t>5</w:t>
            </w:r>
          </w:p>
        </w:tc>
        <w:tc>
          <w:tcPr>
            <w:tcW w:w="991" w:type="dxa"/>
            <w:shd w:val="clear" w:color="auto" w:fill="D9D9D9"/>
          </w:tcPr>
          <w:p w:rsidR="00B0268C" w:rsidRDefault="00C408FB">
            <w:pPr>
              <w:pStyle w:val="TableParagraph"/>
              <w:spacing w:before="89"/>
              <w:ind w:left="4"/>
              <w:jc w:val="center"/>
              <w:rPr>
                <w:rFonts w:ascii="Arial"/>
                <w:sz w:val="16"/>
              </w:rPr>
            </w:pPr>
            <w:r>
              <w:rPr>
                <w:rFonts w:ascii="Arial"/>
                <w:sz w:val="16"/>
              </w:rPr>
              <w:t>X</w:t>
            </w:r>
          </w:p>
        </w:tc>
      </w:tr>
      <w:tr w:rsidR="00B0268C">
        <w:trPr>
          <w:trHeight w:val="254"/>
        </w:trPr>
        <w:tc>
          <w:tcPr>
            <w:tcW w:w="2235" w:type="dxa"/>
          </w:tcPr>
          <w:p w:rsidR="00B0268C" w:rsidRDefault="00C408FB">
            <w:pPr>
              <w:pStyle w:val="TableParagraph"/>
              <w:spacing w:before="32"/>
              <w:ind w:left="107"/>
              <w:rPr>
                <w:rFonts w:ascii="Arial"/>
                <w:sz w:val="16"/>
              </w:rPr>
            </w:pPr>
            <w:r>
              <w:rPr>
                <w:rFonts w:ascii="Arial"/>
                <w:sz w:val="16"/>
              </w:rPr>
              <w:t>CSRI</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C408FB">
            <w:pPr>
              <w:pStyle w:val="TableParagraph"/>
              <w:spacing w:before="32"/>
              <w:ind w:left="6"/>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C408FB">
            <w:pPr>
              <w:pStyle w:val="TableParagraph"/>
              <w:spacing w:before="32"/>
              <w:ind w:left="2"/>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C408FB">
            <w:pPr>
              <w:pStyle w:val="TableParagraph"/>
              <w:spacing w:before="32"/>
              <w:jc w:val="center"/>
              <w:rPr>
                <w:rFonts w:ascii="Arial"/>
                <w:sz w:val="16"/>
              </w:rPr>
            </w:pPr>
            <w:r>
              <w:rPr>
                <w:rFonts w:ascii="Arial"/>
                <w:sz w:val="16"/>
              </w:rPr>
              <w:t>X</w:t>
            </w:r>
          </w:p>
        </w:tc>
        <w:tc>
          <w:tcPr>
            <w:tcW w:w="850" w:type="dxa"/>
          </w:tcPr>
          <w:p w:rsidR="00B0268C" w:rsidRDefault="00B0268C">
            <w:pPr>
              <w:pStyle w:val="TableParagraph"/>
              <w:rPr>
                <w:sz w:val="16"/>
              </w:rPr>
            </w:pP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850" w:type="dxa"/>
          </w:tcPr>
          <w:p w:rsidR="00B0268C" w:rsidRDefault="00B0268C">
            <w:pPr>
              <w:pStyle w:val="TableParagraph"/>
              <w:rPr>
                <w:sz w:val="16"/>
              </w:rPr>
            </w:pPr>
          </w:p>
        </w:tc>
        <w:tc>
          <w:tcPr>
            <w:tcW w:w="852" w:type="dxa"/>
            <w:shd w:val="clear" w:color="auto" w:fill="D9D9D9"/>
          </w:tcPr>
          <w:p w:rsidR="00B0268C" w:rsidRDefault="00C408FB">
            <w:pPr>
              <w:pStyle w:val="TableParagraph"/>
              <w:spacing w:before="32"/>
              <w:ind w:left="368"/>
              <w:rPr>
                <w:rFonts w:ascii="Arial"/>
                <w:sz w:val="16"/>
              </w:rPr>
            </w:pPr>
            <w:r>
              <w:rPr>
                <w:rFonts w:ascii="Arial"/>
                <w:sz w:val="16"/>
              </w:rPr>
              <w:t>X</w:t>
            </w:r>
          </w:p>
        </w:tc>
        <w:tc>
          <w:tcPr>
            <w:tcW w:w="737" w:type="dxa"/>
          </w:tcPr>
          <w:p w:rsidR="00B0268C" w:rsidRDefault="00B0268C">
            <w:pPr>
              <w:pStyle w:val="TableParagraph"/>
              <w:rPr>
                <w:sz w:val="16"/>
              </w:rPr>
            </w:pPr>
          </w:p>
        </w:tc>
        <w:tc>
          <w:tcPr>
            <w:tcW w:w="849" w:type="dxa"/>
            <w:shd w:val="clear" w:color="auto" w:fill="D9D9D9"/>
          </w:tcPr>
          <w:p w:rsidR="00B0268C" w:rsidRDefault="00C408FB">
            <w:pPr>
              <w:pStyle w:val="TableParagraph"/>
              <w:spacing w:before="32"/>
              <w:ind w:left="5"/>
              <w:jc w:val="center"/>
              <w:rPr>
                <w:rFonts w:ascii="Arial"/>
                <w:sz w:val="16"/>
              </w:rPr>
            </w:pPr>
            <w:r>
              <w:rPr>
                <w:rFonts w:ascii="Arial"/>
                <w:sz w:val="16"/>
              </w:rPr>
              <w:t>X</w:t>
            </w:r>
          </w:p>
        </w:tc>
        <w:tc>
          <w:tcPr>
            <w:tcW w:w="823" w:type="dxa"/>
          </w:tcPr>
          <w:p w:rsidR="00B0268C" w:rsidRDefault="00C408FB">
            <w:pPr>
              <w:pStyle w:val="TableParagraph"/>
              <w:spacing w:before="32"/>
              <w:ind w:left="141" w:right="136"/>
              <w:jc w:val="center"/>
              <w:rPr>
                <w:rFonts w:ascii="Arial"/>
                <w:sz w:val="16"/>
              </w:rPr>
            </w:pPr>
            <w:r>
              <w:rPr>
                <w:rFonts w:ascii="Arial"/>
                <w:sz w:val="16"/>
              </w:rPr>
              <w:t>+/-</w:t>
            </w:r>
            <w:r>
              <w:rPr>
                <w:rFonts w:ascii="Arial"/>
                <w:sz w:val="16"/>
                <w:vertAlign w:val="superscript"/>
              </w:rPr>
              <w:t>5</w:t>
            </w:r>
          </w:p>
        </w:tc>
        <w:tc>
          <w:tcPr>
            <w:tcW w:w="991" w:type="dxa"/>
            <w:shd w:val="clear" w:color="auto" w:fill="D9D9D9"/>
          </w:tcPr>
          <w:p w:rsidR="00B0268C" w:rsidRDefault="00C408FB">
            <w:pPr>
              <w:pStyle w:val="TableParagraph"/>
              <w:spacing w:before="32"/>
              <w:ind w:left="4"/>
              <w:jc w:val="center"/>
              <w:rPr>
                <w:rFonts w:ascii="Arial"/>
                <w:sz w:val="16"/>
              </w:rPr>
            </w:pPr>
            <w:r>
              <w:rPr>
                <w:rFonts w:ascii="Arial"/>
                <w:sz w:val="16"/>
              </w:rPr>
              <w:t>X</w:t>
            </w:r>
          </w:p>
        </w:tc>
      </w:tr>
      <w:tr w:rsidR="00B0268C">
        <w:trPr>
          <w:trHeight w:val="376"/>
        </w:trPr>
        <w:tc>
          <w:tcPr>
            <w:tcW w:w="2235" w:type="dxa"/>
          </w:tcPr>
          <w:p w:rsidR="00B0268C" w:rsidRDefault="00C408FB">
            <w:pPr>
              <w:pStyle w:val="TableParagraph"/>
              <w:spacing w:before="1" w:line="180" w:lineRule="atLeast"/>
              <w:ind w:left="107" w:right="123"/>
              <w:rPr>
                <w:rFonts w:ascii="Arial"/>
                <w:sz w:val="16"/>
              </w:rPr>
            </w:pPr>
            <w:r>
              <w:rPr>
                <w:rFonts w:ascii="Arial"/>
                <w:sz w:val="16"/>
              </w:rPr>
              <w:t>Treatment Allocation Guess Form</w:t>
            </w:r>
            <w:r>
              <w:rPr>
                <w:rFonts w:ascii="Arial"/>
                <w:sz w:val="16"/>
                <w:vertAlign w:val="superscript"/>
              </w:rPr>
              <w:t>4</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711"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tcPr>
          <w:p w:rsidR="00B0268C" w:rsidRDefault="00B0268C">
            <w:pPr>
              <w:pStyle w:val="TableParagraph"/>
              <w:rPr>
                <w:sz w:val="16"/>
              </w:rPr>
            </w:pPr>
          </w:p>
        </w:tc>
        <w:tc>
          <w:tcPr>
            <w:tcW w:w="850"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850" w:type="dxa"/>
          </w:tcPr>
          <w:p w:rsidR="00B0268C" w:rsidRDefault="00B0268C">
            <w:pPr>
              <w:pStyle w:val="TableParagraph"/>
              <w:rPr>
                <w:sz w:val="16"/>
              </w:rPr>
            </w:pPr>
          </w:p>
        </w:tc>
        <w:tc>
          <w:tcPr>
            <w:tcW w:w="852" w:type="dxa"/>
            <w:shd w:val="clear" w:color="auto" w:fill="D9D9D9"/>
          </w:tcPr>
          <w:p w:rsidR="00B0268C" w:rsidRDefault="00B0268C">
            <w:pPr>
              <w:pStyle w:val="TableParagraph"/>
              <w:rPr>
                <w:sz w:val="16"/>
              </w:rPr>
            </w:pPr>
          </w:p>
        </w:tc>
        <w:tc>
          <w:tcPr>
            <w:tcW w:w="737" w:type="dxa"/>
          </w:tcPr>
          <w:p w:rsidR="00B0268C" w:rsidRDefault="00B0268C">
            <w:pPr>
              <w:pStyle w:val="TableParagraph"/>
              <w:rPr>
                <w:sz w:val="16"/>
              </w:rPr>
            </w:pPr>
          </w:p>
        </w:tc>
        <w:tc>
          <w:tcPr>
            <w:tcW w:w="849" w:type="dxa"/>
            <w:shd w:val="clear" w:color="auto" w:fill="D9D9D9"/>
          </w:tcPr>
          <w:p w:rsidR="00B0268C" w:rsidRDefault="00C408FB">
            <w:pPr>
              <w:pStyle w:val="TableParagraph"/>
              <w:spacing w:before="92"/>
              <w:ind w:left="5"/>
              <w:jc w:val="center"/>
              <w:rPr>
                <w:rFonts w:ascii="Arial"/>
                <w:sz w:val="16"/>
              </w:rPr>
            </w:pPr>
            <w:r>
              <w:rPr>
                <w:rFonts w:ascii="Arial"/>
                <w:sz w:val="16"/>
              </w:rPr>
              <w:t>X</w:t>
            </w:r>
          </w:p>
        </w:tc>
        <w:tc>
          <w:tcPr>
            <w:tcW w:w="823" w:type="dxa"/>
          </w:tcPr>
          <w:p w:rsidR="00B0268C" w:rsidRDefault="00B0268C">
            <w:pPr>
              <w:pStyle w:val="TableParagraph"/>
              <w:rPr>
                <w:sz w:val="16"/>
              </w:rPr>
            </w:pPr>
          </w:p>
        </w:tc>
        <w:tc>
          <w:tcPr>
            <w:tcW w:w="991" w:type="dxa"/>
            <w:shd w:val="clear" w:color="auto" w:fill="D9D9D9"/>
          </w:tcPr>
          <w:p w:rsidR="00B0268C" w:rsidRDefault="00C408FB">
            <w:pPr>
              <w:pStyle w:val="TableParagraph"/>
              <w:spacing w:before="92"/>
              <w:ind w:left="4"/>
              <w:jc w:val="center"/>
              <w:rPr>
                <w:rFonts w:ascii="Arial"/>
                <w:sz w:val="16"/>
              </w:rPr>
            </w:pPr>
            <w:r>
              <w:rPr>
                <w:rFonts w:ascii="Arial"/>
                <w:sz w:val="16"/>
              </w:rPr>
              <w:t>X</w:t>
            </w:r>
          </w:p>
        </w:tc>
      </w:tr>
      <w:tr w:rsidR="00B0268C">
        <w:trPr>
          <w:trHeight w:val="330"/>
        </w:trPr>
        <w:tc>
          <w:tcPr>
            <w:tcW w:w="2235" w:type="dxa"/>
          </w:tcPr>
          <w:p w:rsidR="00B0268C" w:rsidRDefault="00C408FB">
            <w:pPr>
              <w:pStyle w:val="TableParagraph"/>
              <w:spacing w:before="101"/>
              <w:ind w:left="107"/>
              <w:rPr>
                <w:rFonts w:ascii="Arial"/>
                <w:sz w:val="16"/>
              </w:rPr>
            </w:pPr>
            <w:r>
              <w:rPr>
                <w:rFonts w:ascii="Arial"/>
                <w:sz w:val="16"/>
              </w:rPr>
              <w:t>Administer IMP*</w:t>
            </w:r>
          </w:p>
        </w:tc>
        <w:tc>
          <w:tcPr>
            <w:tcW w:w="1023" w:type="dxa"/>
            <w:shd w:val="clear" w:color="auto" w:fill="D9D9D9"/>
          </w:tcPr>
          <w:p w:rsidR="00B0268C" w:rsidRDefault="00B0268C">
            <w:pPr>
              <w:pStyle w:val="TableParagraph"/>
              <w:rPr>
                <w:sz w:val="16"/>
              </w:rPr>
            </w:pPr>
          </w:p>
        </w:tc>
        <w:tc>
          <w:tcPr>
            <w:tcW w:w="680" w:type="dxa"/>
            <w:shd w:val="clear" w:color="auto" w:fill="D9D9D9"/>
          </w:tcPr>
          <w:p w:rsidR="00B0268C" w:rsidRDefault="00C408FB">
            <w:pPr>
              <w:pStyle w:val="TableParagraph"/>
              <w:spacing w:before="68"/>
              <w:ind w:left="6"/>
              <w:jc w:val="center"/>
              <w:rPr>
                <w:rFonts w:ascii="Arial"/>
                <w:sz w:val="16"/>
              </w:rPr>
            </w:pPr>
            <w:r>
              <w:rPr>
                <w:rFonts w:ascii="Arial"/>
                <w:sz w:val="16"/>
              </w:rPr>
              <w:t>X</w:t>
            </w:r>
          </w:p>
        </w:tc>
        <w:tc>
          <w:tcPr>
            <w:tcW w:w="850" w:type="dxa"/>
          </w:tcPr>
          <w:p w:rsidR="00B0268C" w:rsidRDefault="00C408FB">
            <w:pPr>
              <w:pStyle w:val="TableParagraph"/>
              <w:spacing w:before="68"/>
              <w:ind w:left="7"/>
              <w:jc w:val="center"/>
              <w:rPr>
                <w:rFonts w:ascii="Arial"/>
                <w:sz w:val="16"/>
              </w:rPr>
            </w:pPr>
            <w:r>
              <w:rPr>
                <w:rFonts w:ascii="Arial"/>
                <w:sz w:val="16"/>
              </w:rPr>
              <w:t>X</w:t>
            </w:r>
          </w:p>
        </w:tc>
        <w:tc>
          <w:tcPr>
            <w:tcW w:w="711" w:type="dxa"/>
          </w:tcPr>
          <w:p w:rsidR="00B0268C" w:rsidRDefault="00C408FB">
            <w:pPr>
              <w:pStyle w:val="TableParagraph"/>
              <w:spacing w:before="68"/>
              <w:ind w:left="3"/>
              <w:jc w:val="center"/>
              <w:rPr>
                <w:rFonts w:ascii="Arial"/>
                <w:sz w:val="16"/>
              </w:rPr>
            </w:pPr>
            <w:r>
              <w:rPr>
                <w:rFonts w:ascii="Arial"/>
                <w:sz w:val="16"/>
              </w:rPr>
              <w:t>X</w:t>
            </w:r>
          </w:p>
        </w:tc>
        <w:tc>
          <w:tcPr>
            <w:tcW w:w="850" w:type="dxa"/>
            <w:shd w:val="clear" w:color="auto" w:fill="D9D9D9"/>
          </w:tcPr>
          <w:p w:rsidR="00B0268C" w:rsidRDefault="00C408FB">
            <w:pPr>
              <w:pStyle w:val="TableParagraph"/>
              <w:spacing w:before="68"/>
              <w:ind w:left="2"/>
              <w:jc w:val="center"/>
              <w:rPr>
                <w:rFonts w:ascii="Arial"/>
                <w:sz w:val="16"/>
              </w:rPr>
            </w:pPr>
            <w:r>
              <w:rPr>
                <w:rFonts w:ascii="Arial"/>
                <w:sz w:val="16"/>
              </w:rPr>
              <w:t>X</w:t>
            </w:r>
          </w:p>
        </w:tc>
        <w:tc>
          <w:tcPr>
            <w:tcW w:w="850" w:type="dxa"/>
          </w:tcPr>
          <w:p w:rsidR="00B0268C" w:rsidRDefault="00C408FB">
            <w:pPr>
              <w:pStyle w:val="TableParagraph"/>
              <w:spacing w:before="68"/>
              <w:ind w:left="105" w:right="105"/>
              <w:jc w:val="center"/>
              <w:rPr>
                <w:rFonts w:ascii="Arial"/>
                <w:sz w:val="16"/>
              </w:rPr>
            </w:pPr>
            <w:r>
              <w:rPr>
                <w:rFonts w:ascii="Arial"/>
                <w:sz w:val="16"/>
              </w:rPr>
              <w:t>X2</w:t>
            </w:r>
          </w:p>
        </w:tc>
        <w:tc>
          <w:tcPr>
            <w:tcW w:w="852" w:type="dxa"/>
          </w:tcPr>
          <w:p w:rsidR="00B0268C" w:rsidRDefault="00C408FB">
            <w:pPr>
              <w:pStyle w:val="TableParagraph"/>
              <w:spacing w:before="68"/>
              <w:ind w:left="323"/>
              <w:rPr>
                <w:rFonts w:ascii="Arial"/>
                <w:sz w:val="16"/>
              </w:rPr>
            </w:pPr>
            <w:r>
              <w:rPr>
                <w:rFonts w:ascii="Arial"/>
                <w:sz w:val="16"/>
              </w:rPr>
              <w:t>X2</w:t>
            </w:r>
          </w:p>
        </w:tc>
        <w:tc>
          <w:tcPr>
            <w:tcW w:w="850" w:type="dxa"/>
            <w:shd w:val="clear" w:color="auto" w:fill="D9D9D9"/>
          </w:tcPr>
          <w:p w:rsidR="00B0268C" w:rsidRDefault="00C408FB">
            <w:pPr>
              <w:pStyle w:val="TableParagraph"/>
              <w:spacing w:before="68"/>
              <w:ind w:left="103" w:right="105"/>
              <w:jc w:val="center"/>
              <w:rPr>
                <w:rFonts w:ascii="Arial"/>
                <w:sz w:val="16"/>
              </w:rPr>
            </w:pPr>
            <w:r>
              <w:rPr>
                <w:rFonts w:ascii="Arial"/>
                <w:sz w:val="16"/>
              </w:rPr>
              <w:t>X2</w:t>
            </w:r>
          </w:p>
        </w:tc>
        <w:tc>
          <w:tcPr>
            <w:tcW w:w="850" w:type="dxa"/>
          </w:tcPr>
          <w:p w:rsidR="00B0268C" w:rsidRDefault="00C408FB">
            <w:pPr>
              <w:pStyle w:val="TableParagraph"/>
              <w:spacing w:before="68"/>
              <w:ind w:left="105" w:right="105"/>
              <w:jc w:val="center"/>
              <w:rPr>
                <w:rFonts w:ascii="Arial"/>
                <w:sz w:val="16"/>
              </w:rPr>
            </w:pPr>
            <w:r>
              <w:rPr>
                <w:rFonts w:ascii="Arial"/>
                <w:sz w:val="16"/>
              </w:rPr>
              <w:t>X2</w:t>
            </w:r>
          </w:p>
        </w:tc>
        <w:tc>
          <w:tcPr>
            <w:tcW w:w="852" w:type="dxa"/>
            <w:shd w:val="clear" w:color="auto" w:fill="D9D9D9"/>
          </w:tcPr>
          <w:p w:rsidR="00B0268C" w:rsidRDefault="00C408FB">
            <w:pPr>
              <w:pStyle w:val="TableParagraph"/>
              <w:spacing w:before="68"/>
              <w:ind w:left="322"/>
              <w:rPr>
                <w:rFonts w:ascii="Arial"/>
                <w:sz w:val="16"/>
              </w:rPr>
            </w:pPr>
            <w:r>
              <w:rPr>
                <w:rFonts w:ascii="Arial"/>
                <w:sz w:val="16"/>
              </w:rPr>
              <w:t>X2</w:t>
            </w:r>
          </w:p>
        </w:tc>
        <w:tc>
          <w:tcPr>
            <w:tcW w:w="850" w:type="dxa"/>
          </w:tcPr>
          <w:p w:rsidR="00B0268C" w:rsidRDefault="00C408FB">
            <w:pPr>
              <w:pStyle w:val="TableParagraph"/>
              <w:spacing w:before="68"/>
              <w:ind w:left="105" w:right="105"/>
              <w:jc w:val="center"/>
              <w:rPr>
                <w:rFonts w:ascii="Arial"/>
                <w:sz w:val="16"/>
              </w:rPr>
            </w:pPr>
            <w:r>
              <w:rPr>
                <w:rFonts w:ascii="Arial"/>
                <w:sz w:val="16"/>
              </w:rPr>
              <w:t>X2</w:t>
            </w:r>
          </w:p>
        </w:tc>
        <w:tc>
          <w:tcPr>
            <w:tcW w:w="852" w:type="dxa"/>
            <w:shd w:val="clear" w:color="auto" w:fill="D9D9D9"/>
          </w:tcPr>
          <w:p w:rsidR="00B0268C" w:rsidRDefault="00C408FB">
            <w:pPr>
              <w:pStyle w:val="TableParagraph"/>
              <w:spacing w:before="68"/>
              <w:ind w:left="322"/>
              <w:rPr>
                <w:rFonts w:ascii="Arial"/>
                <w:sz w:val="16"/>
              </w:rPr>
            </w:pPr>
            <w:r>
              <w:rPr>
                <w:rFonts w:ascii="Arial"/>
                <w:sz w:val="16"/>
              </w:rPr>
              <w:t>X2</w:t>
            </w:r>
          </w:p>
        </w:tc>
        <w:tc>
          <w:tcPr>
            <w:tcW w:w="737" w:type="dxa"/>
          </w:tcPr>
          <w:p w:rsidR="00B0268C" w:rsidRDefault="00C408FB">
            <w:pPr>
              <w:pStyle w:val="TableParagraph"/>
              <w:spacing w:before="68"/>
              <w:ind w:left="95" w:right="100"/>
              <w:jc w:val="center"/>
              <w:rPr>
                <w:rFonts w:ascii="Arial"/>
                <w:sz w:val="16"/>
              </w:rPr>
            </w:pPr>
            <w:r>
              <w:rPr>
                <w:rFonts w:ascii="Arial"/>
                <w:sz w:val="16"/>
              </w:rPr>
              <w:t>X2</w:t>
            </w:r>
          </w:p>
        </w:tc>
        <w:tc>
          <w:tcPr>
            <w:tcW w:w="849" w:type="dxa"/>
            <w:shd w:val="clear" w:color="auto" w:fill="D9D9D9"/>
          </w:tcPr>
          <w:p w:rsidR="00B0268C" w:rsidRDefault="00B0268C">
            <w:pPr>
              <w:pStyle w:val="TableParagraph"/>
              <w:rPr>
                <w:sz w:val="16"/>
              </w:rPr>
            </w:pPr>
          </w:p>
        </w:tc>
        <w:tc>
          <w:tcPr>
            <w:tcW w:w="823" w:type="dxa"/>
          </w:tcPr>
          <w:p w:rsidR="00B0268C" w:rsidRDefault="00C408FB">
            <w:pPr>
              <w:pStyle w:val="TableParagraph"/>
              <w:spacing w:before="68"/>
              <w:ind w:left="141" w:right="104"/>
              <w:jc w:val="center"/>
              <w:rPr>
                <w:rFonts w:ascii="Arial"/>
                <w:sz w:val="16"/>
              </w:rPr>
            </w:pPr>
            <w:r>
              <w:rPr>
                <w:rFonts w:ascii="Arial"/>
                <w:sz w:val="16"/>
              </w:rPr>
              <w:t>X2</w:t>
            </w:r>
          </w:p>
        </w:tc>
        <w:tc>
          <w:tcPr>
            <w:tcW w:w="991" w:type="dxa"/>
            <w:shd w:val="clear" w:color="auto" w:fill="D9D9D9"/>
          </w:tcPr>
          <w:p w:rsidR="00B0268C" w:rsidRDefault="00C408FB">
            <w:pPr>
              <w:pStyle w:val="TableParagraph"/>
              <w:spacing w:before="68"/>
              <w:ind w:left="4"/>
              <w:jc w:val="center"/>
              <w:rPr>
                <w:rFonts w:ascii="Arial"/>
                <w:sz w:val="16"/>
              </w:rPr>
            </w:pPr>
            <w:r>
              <w:rPr>
                <w:rFonts w:ascii="Arial"/>
                <w:sz w:val="16"/>
              </w:rPr>
              <w:t>X</w:t>
            </w:r>
          </w:p>
        </w:tc>
      </w:tr>
    </w:tbl>
    <w:p w:rsidR="00B0268C" w:rsidRDefault="00B0268C">
      <w:pPr>
        <w:jc w:val="center"/>
        <w:rPr>
          <w:rFonts w:ascii="Arial"/>
          <w:sz w:val="16"/>
        </w:rPr>
        <w:sectPr w:rsidR="00B0268C">
          <w:headerReference w:type="default" r:id="rId18"/>
          <w:footerReference w:type="default" r:id="rId19"/>
          <w:pgSz w:w="16840" w:h="11910" w:orient="landscape"/>
          <w:pgMar w:top="620" w:right="440" w:bottom="1660" w:left="460" w:header="0" w:footer="1469" w:gutter="0"/>
          <w:cols w:space="720"/>
        </w:sectPr>
      </w:pPr>
    </w:p>
    <w:p w:rsidR="00B0268C" w:rsidRDefault="00C408FB">
      <w:pPr>
        <w:spacing w:before="85"/>
        <w:ind w:left="214" w:right="5471"/>
        <w:rPr>
          <w:rFonts w:ascii="Arial" w:hAnsi="Arial"/>
          <w:sz w:val="16"/>
        </w:rPr>
      </w:pPr>
      <w:r>
        <w:rPr>
          <w:rFonts w:ascii="Arial" w:hAnsi="Arial"/>
          <w:sz w:val="16"/>
        </w:rPr>
        <w:lastRenderedPageBreak/>
        <w:t>X1 – Same day refracted best corrected visual acuity X2 - PRN treatment.</w:t>
      </w:r>
    </w:p>
    <w:p w:rsidR="00B0268C" w:rsidRDefault="00C408FB">
      <w:pPr>
        <w:spacing w:before="2"/>
        <w:ind w:left="214" w:right="6183"/>
        <w:rPr>
          <w:rFonts w:ascii="Arial"/>
          <w:sz w:val="16"/>
        </w:rPr>
      </w:pPr>
      <w:r>
        <w:rPr>
          <w:rFonts w:ascii="Arial"/>
          <w:sz w:val="16"/>
        </w:rPr>
        <w:t>Study Treatment Visit: non shaded square. Study Milestone Visit: shaded square</w:t>
      </w:r>
    </w:p>
    <w:p w:rsidR="00B0268C" w:rsidRDefault="00C408FB">
      <w:pPr>
        <w:spacing w:line="184" w:lineRule="exact"/>
        <w:ind w:left="214"/>
        <w:rPr>
          <w:rFonts w:ascii="Arial"/>
          <w:sz w:val="16"/>
        </w:rPr>
      </w:pPr>
      <w:r>
        <w:rPr>
          <w:rFonts w:ascii="Arial"/>
          <w:sz w:val="16"/>
        </w:rPr>
        <w:t>^Milestone visits and mandated loading visit dates should be agreed with participant prior to performing randomisation</w:t>
      </w:r>
    </w:p>
    <w:p w:rsidR="00B0268C" w:rsidRDefault="00C408FB">
      <w:pPr>
        <w:spacing w:before="1"/>
        <w:ind w:left="214" w:right="257"/>
        <w:rPr>
          <w:rFonts w:ascii="Arial"/>
          <w:sz w:val="16"/>
        </w:rPr>
      </w:pPr>
      <w:r>
        <w:rPr>
          <w:rFonts w:ascii="Arial"/>
          <w:sz w:val="16"/>
        </w:rPr>
        <w:t>*Intravitreal injections including immediate post injection checks are performed as per each trial sites local policy and may include a check of ON perfusion or VA or IOP or a combination of these.</w:t>
      </w:r>
    </w:p>
    <w:p w:rsidR="00B0268C" w:rsidRDefault="00C408FB">
      <w:pPr>
        <w:spacing w:before="2" w:line="184" w:lineRule="exact"/>
        <w:ind w:left="214" w:right="257"/>
        <w:rPr>
          <w:rFonts w:ascii="Arial"/>
          <w:sz w:val="16"/>
        </w:rPr>
      </w:pPr>
      <w:r>
        <w:rPr>
          <w:rFonts w:ascii="Arial"/>
          <w:position w:val="8"/>
          <w:sz w:val="10"/>
        </w:rPr>
        <w:t xml:space="preserve">** </w:t>
      </w:r>
      <w:r>
        <w:rPr>
          <w:rFonts w:ascii="Arial"/>
          <w:sz w:val="16"/>
        </w:rPr>
        <w:t>Participants should be reminded to use an effective form of contraception for 6 months after their last trial injection. Females of child bearing potential should be reminded to notify the local study team if they fall pregnant during this time.</w:t>
      </w:r>
    </w:p>
    <w:p w:rsidR="00B0268C" w:rsidRDefault="00C408FB">
      <w:pPr>
        <w:spacing w:line="169" w:lineRule="exact"/>
        <w:ind w:left="214"/>
        <w:rPr>
          <w:rFonts w:ascii="Arial"/>
          <w:sz w:val="16"/>
        </w:rPr>
      </w:pPr>
      <w:r>
        <w:rPr>
          <w:rFonts w:ascii="Arial"/>
          <w:position w:val="8"/>
          <w:sz w:val="10"/>
        </w:rPr>
        <w:t>1</w:t>
      </w:r>
      <w:r>
        <w:rPr>
          <w:rFonts w:ascii="Arial"/>
          <w:sz w:val="16"/>
        </w:rPr>
        <w:t>Randomisation</w:t>
      </w:r>
      <w:r>
        <w:rPr>
          <w:rFonts w:ascii="Arial"/>
          <w:spacing w:val="-6"/>
          <w:sz w:val="16"/>
        </w:rPr>
        <w:t xml:space="preserve"> </w:t>
      </w:r>
      <w:r>
        <w:rPr>
          <w:rFonts w:ascii="Arial"/>
          <w:sz w:val="16"/>
        </w:rPr>
        <w:t>should</w:t>
      </w:r>
      <w:r>
        <w:rPr>
          <w:rFonts w:ascii="Arial"/>
          <w:spacing w:val="-5"/>
          <w:sz w:val="16"/>
        </w:rPr>
        <w:t xml:space="preserve"> </w:t>
      </w:r>
      <w:r>
        <w:rPr>
          <w:rFonts w:ascii="Arial"/>
          <w:sz w:val="16"/>
        </w:rPr>
        <w:t>only</w:t>
      </w:r>
      <w:r>
        <w:rPr>
          <w:rFonts w:ascii="Arial"/>
          <w:spacing w:val="-3"/>
          <w:sz w:val="16"/>
        </w:rPr>
        <w:t xml:space="preserve"> </w:t>
      </w:r>
      <w:r>
        <w:rPr>
          <w:rFonts w:ascii="Arial"/>
          <w:sz w:val="16"/>
        </w:rPr>
        <w:t>occur</w:t>
      </w:r>
      <w:r>
        <w:rPr>
          <w:rFonts w:ascii="Arial"/>
          <w:spacing w:val="-5"/>
          <w:sz w:val="16"/>
        </w:rPr>
        <w:t xml:space="preserve"> </w:t>
      </w:r>
      <w:r>
        <w:rPr>
          <w:rFonts w:ascii="Arial"/>
          <w:sz w:val="16"/>
        </w:rPr>
        <w:t>once</w:t>
      </w:r>
      <w:r>
        <w:rPr>
          <w:rFonts w:ascii="Arial"/>
          <w:spacing w:val="-3"/>
          <w:sz w:val="16"/>
        </w:rPr>
        <w:t xml:space="preserve"> </w:t>
      </w:r>
      <w:r>
        <w:rPr>
          <w:rFonts w:ascii="Arial"/>
          <w:sz w:val="16"/>
        </w:rPr>
        <w:t>all</w:t>
      </w:r>
      <w:r>
        <w:rPr>
          <w:rFonts w:ascii="Arial"/>
          <w:spacing w:val="-2"/>
          <w:sz w:val="16"/>
        </w:rPr>
        <w:t xml:space="preserve"> </w:t>
      </w:r>
      <w:r>
        <w:rPr>
          <w:rFonts w:ascii="Arial"/>
          <w:sz w:val="16"/>
        </w:rPr>
        <w:t>other</w:t>
      </w:r>
      <w:r>
        <w:rPr>
          <w:rFonts w:ascii="Arial"/>
          <w:spacing w:val="-3"/>
          <w:sz w:val="16"/>
        </w:rPr>
        <w:t xml:space="preserve"> </w:t>
      </w:r>
      <w:r>
        <w:rPr>
          <w:rFonts w:ascii="Arial"/>
          <w:sz w:val="16"/>
        </w:rPr>
        <w:t>assessments</w:t>
      </w:r>
      <w:r>
        <w:rPr>
          <w:rFonts w:ascii="Arial"/>
          <w:spacing w:val="-1"/>
          <w:sz w:val="16"/>
        </w:rPr>
        <w:t xml:space="preserve"> </w:t>
      </w:r>
      <w:r>
        <w:rPr>
          <w:rFonts w:ascii="Arial"/>
          <w:sz w:val="16"/>
        </w:rPr>
        <w:t>at</w:t>
      </w:r>
      <w:r>
        <w:rPr>
          <w:rFonts w:ascii="Arial"/>
          <w:spacing w:val="-4"/>
          <w:sz w:val="16"/>
        </w:rPr>
        <w:t xml:space="preserve"> </w:t>
      </w:r>
      <w:r>
        <w:rPr>
          <w:rFonts w:ascii="Arial"/>
          <w:sz w:val="16"/>
        </w:rPr>
        <w:t>baseline</w:t>
      </w:r>
      <w:r>
        <w:rPr>
          <w:rFonts w:ascii="Arial"/>
          <w:spacing w:val="-3"/>
          <w:sz w:val="16"/>
        </w:rPr>
        <w:t xml:space="preserve"> </w:t>
      </w:r>
      <w:r>
        <w:rPr>
          <w:rFonts w:ascii="Arial"/>
          <w:sz w:val="16"/>
        </w:rPr>
        <w:t>(week</w:t>
      </w:r>
      <w:r>
        <w:rPr>
          <w:rFonts w:ascii="Arial"/>
          <w:spacing w:val="-1"/>
          <w:sz w:val="16"/>
        </w:rPr>
        <w:t xml:space="preserve"> </w:t>
      </w:r>
      <w:r>
        <w:rPr>
          <w:rFonts w:ascii="Arial"/>
          <w:sz w:val="16"/>
        </w:rPr>
        <w:t>0)</w:t>
      </w:r>
      <w:r>
        <w:rPr>
          <w:rFonts w:ascii="Arial"/>
          <w:spacing w:val="-3"/>
          <w:sz w:val="16"/>
        </w:rPr>
        <w:t xml:space="preserve"> </w:t>
      </w:r>
      <w:r>
        <w:rPr>
          <w:rFonts w:ascii="Arial"/>
          <w:sz w:val="16"/>
        </w:rPr>
        <w:t>have</w:t>
      </w:r>
      <w:r>
        <w:rPr>
          <w:rFonts w:ascii="Arial"/>
          <w:spacing w:val="3"/>
          <w:sz w:val="16"/>
        </w:rPr>
        <w:t xml:space="preserve"> </w:t>
      </w:r>
      <w:r>
        <w:rPr>
          <w:rFonts w:ascii="Arial"/>
          <w:sz w:val="16"/>
        </w:rPr>
        <w:t>occurred</w:t>
      </w:r>
    </w:p>
    <w:p w:rsidR="00B0268C" w:rsidRDefault="00C408FB">
      <w:pPr>
        <w:spacing w:before="15" w:line="184" w:lineRule="exact"/>
        <w:ind w:left="214" w:right="257"/>
        <w:rPr>
          <w:rFonts w:ascii="Arial"/>
          <w:sz w:val="16"/>
        </w:rPr>
      </w:pPr>
      <w:r>
        <w:rPr>
          <w:rFonts w:ascii="Arial"/>
          <w:position w:val="8"/>
          <w:sz w:val="10"/>
        </w:rPr>
        <w:t>2</w:t>
      </w:r>
      <w:r>
        <w:rPr>
          <w:rFonts w:ascii="Arial"/>
          <w:sz w:val="16"/>
        </w:rPr>
        <w:t>Further colour fundus photographs and fluorescein angiography may be performed as per investigator discretion. Colour fundus photographs should be done if a patient converts from non-ischaemic to ischaemic</w:t>
      </w:r>
      <w:r>
        <w:rPr>
          <w:rFonts w:ascii="Arial"/>
          <w:spacing w:val="-6"/>
          <w:sz w:val="16"/>
        </w:rPr>
        <w:t xml:space="preserve"> </w:t>
      </w:r>
      <w:r>
        <w:rPr>
          <w:rFonts w:ascii="Arial"/>
          <w:sz w:val="16"/>
        </w:rPr>
        <w:t>CRVO.</w:t>
      </w:r>
    </w:p>
    <w:p w:rsidR="00B0268C" w:rsidRDefault="00C408FB">
      <w:pPr>
        <w:spacing w:line="169" w:lineRule="exact"/>
        <w:ind w:left="214"/>
        <w:rPr>
          <w:rFonts w:ascii="Arial"/>
          <w:sz w:val="16"/>
        </w:rPr>
      </w:pPr>
      <w:r>
        <w:rPr>
          <w:rFonts w:ascii="Arial"/>
          <w:position w:val="8"/>
          <w:sz w:val="10"/>
        </w:rPr>
        <w:t>3</w:t>
      </w:r>
      <w:r>
        <w:rPr>
          <w:rFonts w:ascii="Arial"/>
          <w:sz w:val="16"/>
        </w:rPr>
        <w:t>To include review of screening assessment test results and confirmation of eligibility.</w:t>
      </w:r>
    </w:p>
    <w:p w:rsidR="00B0268C" w:rsidRDefault="00C408FB">
      <w:pPr>
        <w:spacing w:line="185" w:lineRule="exact"/>
        <w:ind w:left="214"/>
        <w:rPr>
          <w:rFonts w:ascii="Arial"/>
          <w:sz w:val="16"/>
        </w:rPr>
      </w:pPr>
      <w:r>
        <w:rPr>
          <w:rFonts w:ascii="Arial"/>
          <w:position w:val="8"/>
          <w:sz w:val="10"/>
        </w:rPr>
        <w:t>4</w:t>
      </w:r>
      <w:r>
        <w:rPr>
          <w:rFonts w:ascii="Arial"/>
          <w:sz w:val="16"/>
        </w:rPr>
        <w:t xml:space="preserve">To be completed by participant, masked investigator, </w:t>
      </w:r>
      <w:proofErr w:type="gramStart"/>
      <w:r>
        <w:rPr>
          <w:rFonts w:ascii="Arial"/>
          <w:sz w:val="16"/>
        </w:rPr>
        <w:t>site</w:t>
      </w:r>
      <w:proofErr w:type="gramEnd"/>
      <w:r>
        <w:rPr>
          <w:rFonts w:ascii="Arial"/>
          <w:sz w:val="16"/>
        </w:rPr>
        <w:t xml:space="preserve"> optometrists.</w:t>
      </w:r>
    </w:p>
    <w:p w:rsidR="00B0268C" w:rsidRDefault="00C408FB">
      <w:pPr>
        <w:spacing w:line="196" w:lineRule="exact"/>
        <w:ind w:left="214"/>
        <w:rPr>
          <w:rFonts w:ascii="Arial"/>
          <w:sz w:val="16"/>
        </w:rPr>
      </w:pPr>
      <w:r>
        <w:rPr>
          <w:rFonts w:ascii="Arial"/>
          <w:position w:val="8"/>
          <w:sz w:val="10"/>
        </w:rPr>
        <w:t>5</w:t>
      </w:r>
      <w:r>
        <w:rPr>
          <w:rFonts w:ascii="Arial"/>
          <w:sz w:val="16"/>
        </w:rPr>
        <w:t>To be performed (as required) if unscheduled visit is a milestone visit.</w:t>
      </w:r>
    </w:p>
    <w:p w:rsidR="00B0268C" w:rsidRDefault="00B0268C">
      <w:pPr>
        <w:pStyle w:val="BodyText"/>
        <w:rPr>
          <w:rFonts w:ascii="Arial"/>
          <w:sz w:val="20"/>
        </w:rPr>
      </w:pPr>
    </w:p>
    <w:p w:rsidR="00B0268C" w:rsidRDefault="00B0268C">
      <w:pPr>
        <w:pStyle w:val="BodyText"/>
        <w:spacing w:before="9"/>
        <w:rPr>
          <w:rFonts w:ascii="Arial"/>
          <w:sz w:val="27"/>
        </w:rPr>
      </w:pPr>
    </w:p>
    <w:p w:rsidR="00B0268C" w:rsidRDefault="00C408FB">
      <w:pPr>
        <w:pStyle w:val="Heading2"/>
        <w:numPr>
          <w:ilvl w:val="1"/>
          <w:numId w:val="18"/>
        </w:numPr>
        <w:tabs>
          <w:tab w:val="left" w:pos="618"/>
        </w:tabs>
        <w:ind w:left="617" w:hanging="404"/>
        <w:jc w:val="left"/>
      </w:pPr>
      <w:bookmarkStart w:id="32" w:name="_bookmark32"/>
      <w:bookmarkEnd w:id="32"/>
      <w:r>
        <w:t>Participant duration in the study</w:t>
      </w:r>
    </w:p>
    <w:p w:rsidR="00B0268C" w:rsidRDefault="00B0268C">
      <w:pPr>
        <w:pStyle w:val="BodyText"/>
        <w:spacing w:before="10"/>
        <w:rPr>
          <w:rFonts w:ascii="Arial"/>
          <w:b/>
          <w:sz w:val="22"/>
        </w:rPr>
      </w:pPr>
    </w:p>
    <w:p w:rsidR="00B0268C" w:rsidRDefault="00C408FB">
      <w:pPr>
        <w:pStyle w:val="BodyText"/>
        <w:ind w:left="214" w:right="918"/>
      </w:pPr>
      <w:r>
        <w:t xml:space="preserve">Each study subject will participate in the trial from the day that </w:t>
      </w:r>
      <w:proofErr w:type="gramStart"/>
      <w:r>
        <w:t>the they</w:t>
      </w:r>
      <w:proofErr w:type="gramEnd"/>
      <w:r>
        <w:t xml:space="preserve"> give informed consent to their last final visit at 100 weeks.</w:t>
      </w:r>
    </w:p>
    <w:p w:rsidR="00B0268C" w:rsidRDefault="00B0268C">
      <w:pPr>
        <w:pStyle w:val="BodyText"/>
        <w:spacing w:before="4"/>
      </w:pPr>
    </w:p>
    <w:p w:rsidR="00B0268C" w:rsidRDefault="00C408FB">
      <w:pPr>
        <w:pStyle w:val="Heading2"/>
        <w:numPr>
          <w:ilvl w:val="1"/>
          <w:numId w:val="18"/>
        </w:numPr>
        <w:tabs>
          <w:tab w:val="left" w:pos="618"/>
        </w:tabs>
        <w:ind w:left="617" w:hanging="404"/>
        <w:jc w:val="left"/>
      </w:pPr>
      <w:bookmarkStart w:id="33" w:name="_bookmark33"/>
      <w:bookmarkEnd w:id="33"/>
      <w:r>
        <w:t>Final</w:t>
      </w:r>
      <w:r>
        <w:rPr>
          <w:spacing w:val="-1"/>
        </w:rPr>
        <w:t xml:space="preserve"> </w:t>
      </w:r>
      <w:r>
        <w:t>assessment</w:t>
      </w:r>
    </w:p>
    <w:p w:rsidR="00B0268C" w:rsidRDefault="00B0268C">
      <w:pPr>
        <w:pStyle w:val="BodyText"/>
        <w:spacing w:before="7"/>
        <w:rPr>
          <w:rFonts w:ascii="Arial"/>
          <w:b/>
          <w:sz w:val="22"/>
        </w:rPr>
      </w:pPr>
    </w:p>
    <w:p w:rsidR="00B0268C" w:rsidRDefault="00C408FB">
      <w:pPr>
        <w:pStyle w:val="BodyText"/>
        <w:spacing w:before="1"/>
        <w:ind w:left="214" w:right="257"/>
      </w:pPr>
      <w:r>
        <w:t>The final study assessment is when the last study subject achieves their 100 weeks assessment.</w:t>
      </w:r>
    </w:p>
    <w:p w:rsidR="00B0268C" w:rsidRDefault="00B0268C">
      <w:pPr>
        <w:pStyle w:val="BodyText"/>
        <w:rPr>
          <w:sz w:val="26"/>
        </w:rPr>
      </w:pPr>
    </w:p>
    <w:p w:rsidR="00B0268C" w:rsidRDefault="00B0268C">
      <w:pPr>
        <w:pStyle w:val="BodyText"/>
        <w:spacing w:before="4"/>
        <w:rPr>
          <w:sz w:val="22"/>
        </w:rPr>
      </w:pPr>
    </w:p>
    <w:p w:rsidR="00B0268C" w:rsidRDefault="00C408FB">
      <w:pPr>
        <w:pStyle w:val="Heading1"/>
        <w:numPr>
          <w:ilvl w:val="1"/>
          <w:numId w:val="13"/>
        </w:numPr>
        <w:tabs>
          <w:tab w:val="left" w:pos="682"/>
        </w:tabs>
        <w:spacing w:before="0"/>
      </w:pPr>
      <w:bookmarkStart w:id="34" w:name="_bookmark34"/>
      <w:bookmarkEnd w:id="34"/>
      <w:r>
        <w:t>Sample</w:t>
      </w:r>
      <w:r>
        <w:rPr>
          <w:spacing w:val="-2"/>
        </w:rPr>
        <w:t xml:space="preserve"> </w:t>
      </w:r>
      <w:r>
        <w:t>Size</w:t>
      </w:r>
    </w:p>
    <w:p w:rsidR="00B0268C" w:rsidRDefault="00C408FB">
      <w:pPr>
        <w:pStyle w:val="Heading2"/>
        <w:numPr>
          <w:ilvl w:val="1"/>
          <w:numId w:val="13"/>
        </w:numPr>
        <w:tabs>
          <w:tab w:val="left" w:pos="617"/>
        </w:tabs>
        <w:spacing w:before="263"/>
        <w:ind w:left="616" w:hanging="403"/>
      </w:pPr>
      <w:bookmarkStart w:id="35" w:name="_bookmark35"/>
      <w:bookmarkEnd w:id="35"/>
      <w:r>
        <w:t>Determination of the primary outcome effect</w:t>
      </w:r>
      <w:r>
        <w:rPr>
          <w:spacing w:val="-5"/>
        </w:rPr>
        <w:t xml:space="preserve"> </w:t>
      </w:r>
      <w:r>
        <w:t>size</w:t>
      </w:r>
    </w:p>
    <w:p w:rsidR="00B0268C" w:rsidRDefault="00B0268C">
      <w:pPr>
        <w:pStyle w:val="BodyText"/>
        <w:spacing w:before="8"/>
        <w:rPr>
          <w:rFonts w:ascii="Arial"/>
          <w:b/>
          <w:sz w:val="23"/>
        </w:rPr>
      </w:pPr>
    </w:p>
    <w:p w:rsidR="00B0268C" w:rsidRDefault="00C408FB">
      <w:pPr>
        <w:pStyle w:val="BodyText"/>
        <w:ind w:left="214" w:right="277"/>
        <w:jc w:val="both"/>
      </w:pPr>
      <w:r>
        <w:t xml:space="preserve">Bevacizumab and </w:t>
      </w:r>
      <w:proofErr w:type="spellStart"/>
      <w:r>
        <w:t>aflibercept</w:t>
      </w:r>
      <w:proofErr w:type="spellEnd"/>
      <w:r>
        <w:t xml:space="preserve"> are defined to be substantially inferior to </w:t>
      </w:r>
      <w:proofErr w:type="spellStart"/>
      <w:r>
        <w:t>ranibizumab</w:t>
      </w:r>
      <w:proofErr w:type="spellEnd"/>
      <w:r>
        <w:t>, if in each case, the mean of the primary outcome (change in best corrected ETDRS visual acuity letter score) is worse by a margin of five letters.</w:t>
      </w:r>
    </w:p>
    <w:p w:rsidR="00B0268C" w:rsidRDefault="00B0268C">
      <w:pPr>
        <w:pStyle w:val="BodyText"/>
      </w:pPr>
    </w:p>
    <w:p w:rsidR="00B0268C" w:rsidRDefault="00C408FB">
      <w:pPr>
        <w:pStyle w:val="BodyText"/>
        <w:ind w:left="214" w:right="271"/>
        <w:jc w:val="both"/>
      </w:pPr>
      <w:r>
        <w:t xml:space="preserve">The two null hypotheses, that bevacizumab is substantially inferior to </w:t>
      </w:r>
      <w:proofErr w:type="spellStart"/>
      <w:r>
        <w:t>ranibizumab</w:t>
      </w:r>
      <w:proofErr w:type="spellEnd"/>
      <w:r>
        <w:t xml:space="preserve">, and that </w:t>
      </w:r>
      <w:proofErr w:type="spellStart"/>
      <w:r>
        <w:t>aflibercept</w:t>
      </w:r>
      <w:proofErr w:type="spellEnd"/>
      <w:r>
        <w:t xml:space="preserve"> is substantially inferior to </w:t>
      </w:r>
      <w:proofErr w:type="spellStart"/>
      <w:r>
        <w:t>ranibizumab</w:t>
      </w:r>
      <w:proofErr w:type="spellEnd"/>
      <w:r>
        <w:t>, will each be rejected if the estimated 95% confidence interval for the difference in treatment means lies wholly above the five letter margin in each case.</w:t>
      </w:r>
    </w:p>
    <w:p w:rsidR="00B0268C" w:rsidRDefault="00B0268C">
      <w:pPr>
        <w:pStyle w:val="BodyText"/>
        <w:rPr>
          <w:sz w:val="23"/>
        </w:rPr>
      </w:pPr>
    </w:p>
    <w:p w:rsidR="00B0268C" w:rsidRDefault="00C408FB">
      <w:pPr>
        <w:pStyle w:val="BodyText"/>
        <w:ind w:left="214" w:right="270"/>
        <w:jc w:val="both"/>
      </w:pPr>
      <w:r>
        <w:t>The choice of a five-letter margin is 32% higher than the available estimated 12-month placebo-controlled effect of 6.6 letters (</w:t>
      </w:r>
      <w:hyperlink w:anchor="_bookmark96" w:history="1">
        <w:r>
          <w:t>15</w:t>
        </w:r>
      </w:hyperlink>
      <w:r>
        <w:t xml:space="preserve">) for </w:t>
      </w:r>
      <w:proofErr w:type="spellStart"/>
      <w:r>
        <w:t>ranibizumab</w:t>
      </w:r>
      <w:proofErr w:type="spellEnd"/>
      <w:r>
        <w:t>, the standard (comparator) treatment for LEAVO. This margin choice is therefore consistent with maintaining assay sensitivity sufficiently to be able to declare non-inferiority.</w:t>
      </w:r>
    </w:p>
    <w:p w:rsidR="00B0268C" w:rsidRDefault="00B0268C">
      <w:pPr>
        <w:pStyle w:val="BodyText"/>
        <w:spacing w:before="3"/>
        <w:rPr>
          <w:sz w:val="23"/>
        </w:rPr>
      </w:pPr>
    </w:p>
    <w:p w:rsidR="00B0268C" w:rsidRDefault="00C408FB">
      <w:pPr>
        <w:pStyle w:val="Heading2"/>
        <w:numPr>
          <w:ilvl w:val="1"/>
          <w:numId w:val="13"/>
        </w:numPr>
        <w:tabs>
          <w:tab w:val="left" w:pos="617"/>
        </w:tabs>
        <w:ind w:left="616" w:hanging="403"/>
      </w:pPr>
      <w:bookmarkStart w:id="36" w:name="_bookmark36"/>
      <w:bookmarkEnd w:id="36"/>
      <w:r>
        <w:t>Determination of the primary outcome</w:t>
      </w:r>
      <w:r>
        <w:rPr>
          <w:spacing w:val="-2"/>
        </w:rPr>
        <w:t xml:space="preserve"> </w:t>
      </w:r>
      <w:r>
        <w:t>variability</w:t>
      </w:r>
    </w:p>
    <w:p w:rsidR="00B0268C" w:rsidRDefault="00B0268C">
      <w:pPr>
        <w:pStyle w:val="BodyText"/>
        <w:rPr>
          <w:rFonts w:ascii="Arial"/>
          <w:b/>
          <w:sz w:val="29"/>
        </w:rPr>
      </w:pPr>
    </w:p>
    <w:p w:rsidR="00B0268C" w:rsidRDefault="00C408FB">
      <w:pPr>
        <w:pStyle w:val="BodyText"/>
        <w:ind w:left="214" w:right="272"/>
        <w:jc w:val="both"/>
      </w:pPr>
      <w:r>
        <w:t>For a similar trial on CRVO (</w:t>
      </w:r>
      <w:hyperlink w:anchor="_bookmark96" w:history="1">
        <w:r>
          <w:t>15</w:t>
        </w:r>
      </w:hyperlink>
      <w:r>
        <w:t>) the standard deviation reported in Ranibizumab arms at 12 months was 14.3. In the absence of 24-month data we have assumed a comparable SD of</w:t>
      </w:r>
    </w:p>
    <w:p w:rsidR="00B0268C" w:rsidRDefault="00C408FB">
      <w:pPr>
        <w:pStyle w:val="BodyText"/>
        <w:ind w:left="214"/>
      </w:pPr>
      <w:r>
        <w:t xml:space="preserve">14.3 </w:t>
      </w:r>
      <w:proofErr w:type="gramStart"/>
      <w:r>
        <w:t>at</w:t>
      </w:r>
      <w:proofErr w:type="gramEnd"/>
      <w:r>
        <w:t xml:space="preserve"> 24 months.</w:t>
      </w:r>
    </w:p>
    <w:p w:rsidR="00B0268C" w:rsidRDefault="00B0268C">
      <w:pPr>
        <w:pStyle w:val="BodyText"/>
        <w:spacing w:before="3"/>
        <w:rPr>
          <w:sz w:val="23"/>
        </w:rPr>
      </w:pPr>
    </w:p>
    <w:p w:rsidR="00B0268C" w:rsidRDefault="00C408FB">
      <w:pPr>
        <w:pStyle w:val="Heading2"/>
        <w:numPr>
          <w:ilvl w:val="1"/>
          <w:numId w:val="12"/>
        </w:numPr>
        <w:tabs>
          <w:tab w:val="left" w:pos="618"/>
        </w:tabs>
      </w:pPr>
      <w:bookmarkStart w:id="37" w:name="_bookmark37"/>
      <w:bookmarkEnd w:id="37"/>
      <w:r>
        <w:t>Clustering of outcomes from eyes within subjects</w:t>
      </w:r>
      <w:r>
        <w:rPr>
          <w:spacing w:val="-4"/>
        </w:rPr>
        <w:t xml:space="preserve"> </w:t>
      </w:r>
      <w:r>
        <w:t>effects</w:t>
      </w:r>
    </w:p>
    <w:p w:rsidR="00B0268C" w:rsidRDefault="00B0268C">
      <w:pPr>
        <w:sectPr w:rsidR="00B0268C">
          <w:headerReference w:type="default" r:id="rId20"/>
          <w:footerReference w:type="default" r:id="rId21"/>
          <w:pgSz w:w="11910" w:h="16840"/>
          <w:pgMar w:top="1040" w:right="1200" w:bottom="1640" w:left="1260" w:header="712" w:footer="1442" w:gutter="0"/>
          <w:pgNumType w:start="20"/>
          <w:cols w:space="720"/>
        </w:sectPr>
      </w:pPr>
    </w:p>
    <w:p w:rsidR="00B0268C" w:rsidRDefault="00C408FB">
      <w:pPr>
        <w:pStyle w:val="BodyText"/>
        <w:spacing w:before="81"/>
        <w:ind w:left="214" w:right="272"/>
        <w:jc w:val="both"/>
      </w:pPr>
      <w:r>
        <w:lastRenderedPageBreak/>
        <w:t>Only one eye per subject can be selected for the study. In 95% of cases, one eye will be affected by CRVO. As explained in the protocol, bilateral RVO is rare, but if it happens and both eyes are eligible, the eye included is the ‘worst seeing eye’. However, participants will be given the choice if both eyes are found to be eligible. All observations are in this way able to be assumed to be independent in the sample size calculation and statistical analysis.</w:t>
      </w:r>
    </w:p>
    <w:p w:rsidR="00B0268C" w:rsidRDefault="00B0268C">
      <w:pPr>
        <w:pStyle w:val="BodyText"/>
        <w:spacing w:before="4"/>
      </w:pPr>
    </w:p>
    <w:p w:rsidR="00B0268C" w:rsidRDefault="00C408FB">
      <w:pPr>
        <w:pStyle w:val="Heading2"/>
        <w:numPr>
          <w:ilvl w:val="1"/>
          <w:numId w:val="12"/>
        </w:numPr>
        <w:tabs>
          <w:tab w:val="left" w:pos="618"/>
        </w:tabs>
      </w:pPr>
      <w:bookmarkStart w:id="38" w:name="_bookmark38"/>
      <w:bookmarkEnd w:id="38"/>
      <w:r>
        <w:t>Power to detect</w:t>
      </w:r>
      <w:r>
        <w:rPr>
          <w:spacing w:val="-1"/>
        </w:rPr>
        <w:t xml:space="preserve"> </w:t>
      </w:r>
      <w:r>
        <w:t>effects</w:t>
      </w:r>
    </w:p>
    <w:p w:rsidR="00B0268C" w:rsidRDefault="00B0268C">
      <w:pPr>
        <w:pStyle w:val="BodyText"/>
        <w:spacing w:before="10"/>
        <w:rPr>
          <w:rFonts w:ascii="Arial"/>
          <w:b/>
          <w:sz w:val="22"/>
        </w:rPr>
      </w:pPr>
    </w:p>
    <w:p w:rsidR="00B0268C" w:rsidRDefault="00C408FB">
      <w:pPr>
        <w:pStyle w:val="BodyText"/>
        <w:ind w:left="214" w:right="274"/>
        <w:jc w:val="both"/>
      </w:pPr>
      <w:r>
        <w:t>There is 80% power to detect non-inferiority using a two-sided 95% confidence interval from an analysis of covariance test with adjustment for baseline visual acuity and randomisation</w:t>
      </w:r>
      <w:r>
        <w:rPr>
          <w:spacing w:val="-1"/>
        </w:rPr>
        <w:t xml:space="preserve"> </w:t>
      </w:r>
      <w:proofErr w:type="spellStart"/>
      <w:r>
        <w:t>stratifiers</w:t>
      </w:r>
      <w:proofErr w:type="spellEnd"/>
      <w:r>
        <w:t>.</w:t>
      </w:r>
    </w:p>
    <w:p w:rsidR="00B0268C" w:rsidRDefault="00B0268C">
      <w:pPr>
        <w:pStyle w:val="BodyText"/>
        <w:spacing w:before="3"/>
      </w:pPr>
    </w:p>
    <w:p w:rsidR="00B0268C" w:rsidRDefault="00C408FB">
      <w:pPr>
        <w:pStyle w:val="Heading2"/>
        <w:numPr>
          <w:ilvl w:val="1"/>
          <w:numId w:val="12"/>
        </w:numPr>
        <w:tabs>
          <w:tab w:val="left" w:pos="618"/>
        </w:tabs>
        <w:spacing w:before="1"/>
      </w:pPr>
      <w:bookmarkStart w:id="39" w:name="_bookmark39"/>
      <w:bookmarkEnd w:id="39"/>
      <w:r>
        <w:t>Determination of the sample size based on the primary</w:t>
      </w:r>
      <w:r>
        <w:rPr>
          <w:spacing w:val="-11"/>
        </w:rPr>
        <w:t xml:space="preserve"> </w:t>
      </w:r>
      <w:r>
        <w:t>outcome</w:t>
      </w:r>
    </w:p>
    <w:p w:rsidR="00B0268C" w:rsidRDefault="00B0268C">
      <w:pPr>
        <w:pStyle w:val="BodyText"/>
        <w:spacing w:before="7"/>
        <w:rPr>
          <w:rFonts w:ascii="Arial"/>
          <w:b/>
          <w:sz w:val="23"/>
        </w:rPr>
      </w:pPr>
    </w:p>
    <w:p w:rsidR="00B0268C" w:rsidRDefault="00C408FB">
      <w:pPr>
        <w:pStyle w:val="BodyText"/>
        <w:ind w:left="214" w:right="270"/>
        <w:jc w:val="both"/>
      </w:pPr>
      <w:r>
        <w:t>The sample size was set to be 459 participants, 153 per arm (1 eye per subject). The target of 390 subjects followed up with primary outcome required in the analysis involves a 15% allowance for dropout and protocol exclusions.</w:t>
      </w:r>
    </w:p>
    <w:p w:rsidR="00B0268C" w:rsidRDefault="00B0268C">
      <w:pPr>
        <w:pStyle w:val="BodyText"/>
        <w:spacing w:before="1"/>
      </w:pPr>
    </w:p>
    <w:p w:rsidR="00B0268C" w:rsidRDefault="00C408FB">
      <w:pPr>
        <w:pStyle w:val="BodyText"/>
        <w:ind w:left="214"/>
        <w:jc w:val="both"/>
      </w:pPr>
      <w:r>
        <w:t xml:space="preserve">Sample size calculations were performed using </w:t>
      </w:r>
      <w:proofErr w:type="spellStart"/>
      <w:r>
        <w:t>nQuery</w:t>
      </w:r>
      <w:proofErr w:type="spellEnd"/>
      <w:r>
        <w:t xml:space="preserve"> Advisor 4.0 software.</w:t>
      </w:r>
    </w:p>
    <w:p w:rsidR="00B0268C" w:rsidRDefault="00B0268C">
      <w:pPr>
        <w:pStyle w:val="BodyText"/>
        <w:spacing w:before="3"/>
        <w:rPr>
          <w:sz w:val="23"/>
        </w:rPr>
      </w:pPr>
    </w:p>
    <w:p w:rsidR="00B0268C" w:rsidRDefault="00C408FB">
      <w:pPr>
        <w:pStyle w:val="Heading2"/>
        <w:numPr>
          <w:ilvl w:val="1"/>
          <w:numId w:val="12"/>
        </w:numPr>
        <w:tabs>
          <w:tab w:val="left" w:pos="618"/>
        </w:tabs>
      </w:pPr>
      <w:bookmarkStart w:id="40" w:name="_bookmark40"/>
      <w:bookmarkEnd w:id="40"/>
      <w:r>
        <w:t>Detectable effects sizes expressed in general standardised</w:t>
      </w:r>
      <w:r>
        <w:rPr>
          <w:spacing w:val="-8"/>
        </w:rPr>
        <w:t xml:space="preserve"> </w:t>
      </w:r>
      <w:r>
        <w:t>form</w:t>
      </w:r>
    </w:p>
    <w:p w:rsidR="00B0268C" w:rsidRDefault="00B0268C">
      <w:pPr>
        <w:pStyle w:val="BodyText"/>
        <w:spacing w:before="8"/>
        <w:rPr>
          <w:rFonts w:ascii="Arial"/>
          <w:b/>
          <w:sz w:val="22"/>
        </w:rPr>
      </w:pPr>
    </w:p>
    <w:p w:rsidR="00B0268C" w:rsidRDefault="00C408FB">
      <w:pPr>
        <w:pStyle w:val="BodyText"/>
        <w:ind w:left="214" w:right="270"/>
        <w:jc w:val="both"/>
      </w:pPr>
      <w:r>
        <w:t>For a continuous secondary outcome, with 153 subjects per arm followed up we can detect effects of size 0.45 Standard Deviation’s difference between means with 80% power using a two-sided t-test at the 5% significance level. For binary outcomes, we have at least 90% power to detect a difference in proportions of 0.2 using a chi-squared test at the 5% significance level.</w:t>
      </w:r>
    </w:p>
    <w:p w:rsidR="00B0268C" w:rsidRDefault="00B0268C">
      <w:pPr>
        <w:pStyle w:val="BodyText"/>
        <w:rPr>
          <w:sz w:val="26"/>
        </w:rPr>
      </w:pPr>
    </w:p>
    <w:p w:rsidR="00B0268C" w:rsidRDefault="00B0268C">
      <w:pPr>
        <w:pStyle w:val="BodyText"/>
        <w:spacing w:before="4"/>
        <w:rPr>
          <w:sz w:val="22"/>
        </w:rPr>
      </w:pPr>
    </w:p>
    <w:p w:rsidR="00B0268C" w:rsidRDefault="00C408FB">
      <w:pPr>
        <w:pStyle w:val="Heading1"/>
        <w:numPr>
          <w:ilvl w:val="1"/>
          <w:numId w:val="11"/>
        </w:numPr>
        <w:tabs>
          <w:tab w:val="left" w:pos="685"/>
        </w:tabs>
        <w:spacing w:before="1"/>
      </w:pPr>
      <w:bookmarkStart w:id="41" w:name="_bookmark41"/>
      <w:bookmarkEnd w:id="41"/>
      <w:r>
        <w:t>Randomisation and</w:t>
      </w:r>
      <w:r>
        <w:rPr>
          <w:spacing w:val="1"/>
        </w:rPr>
        <w:t xml:space="preserve"> </w:t>
      </w:r>
      <w:r>
        <w:t>Subgroups</w:t>
      </w:r>
    </w:p>
    <w:p w:rsidR="00B0268C" w:rsidRDefault="00B0268C">
      <w:pPr>
        <w:pStyle w:val="BodyText"/>
        <w:spacing w:before="10"/>
        <w:rPr>
          <w:rFonts w:ascii="Arial"/>
          <w:b/>
          <w:sz w:val="23"/>
        </w:rPr>
      </w:pPr>
    </w:p>
    <w:p w:rsidR="00B0268C" w:rsidRDefault="00C408FB">
      <w:pPr>
        <w:pStyle w:val="Heading2"/>
        <w:numPr>
          <w:ilvl w:val="1"/>
          <w:numId w:val="11"/>
        </w:numPr>
        <w:tabs>
          <w:tab w:val="left" w:pos="619"/>
        </w:tabs>
        <w:ind w:left="618" w:hanging="405"/>
      </w:pPr>
      <w:bookmarkStart w:id="42" w:name="_bookmark42"/>
      <w:bookmarkEnd w:id="42"/>
      <w:r>
        <w:t>Arms</w:t>
      </w:r>
    </w:p>
    <w:p w:rsidR="00B0268C" w:rsidRDefault="00B0268C">
      <w:pPr>
        <w:pStyle w:val="BodyText"/>
        <w:spacing w:before="7"/>
        <w:rPr>
          <w:rFonts w:ascii="Arial"/>
          <w:b/>
          <w:sz w:val="22"/>
        </w:rPr>
      </w:pPr>
    </w:p>
    <w:p w:rsidR="00B0268C" w:rsidRDefault="00C408FB">
      <w:pPr>
        <w:pStyle w:val="BodyText"/>
        <w:ind w:left="214" w:right="272"/>
        <w:jc w:val="both"/>
      </w:pPr>
      <w:r>
        <w:t xml:space="preserve">Each participant will be equally randomised to one of three arms: bevacizumab, </w:t>
      </w:r>
      <w:proofErr w:type="spellStart"/>
      <w:r>
        <w:t>aflibercept</w:t>
      </w:r>
      <w:proofErr w:type="spellEnd"/>
      <w:r>
        <w:t xml:space="preserve"> or</w:t>
      </w:r>
      <w:r>
        <w:rPr>
          <w:spacing w:val="-1"/>
        </w:rPr>
        <w:t xml:space="preserve"> </w:t>
      </w:r>
      <w:proofErr w:type="spellStart"/>
      <w:r>
        <w:t>ranibizumab</w:t>
      </w:r>
      <w:proofErr w:type="spellEnd"/>
      <w:r>
        <w:t>.</w:t>
      </w:r>
    </w:p>
    <w:p w:rsidR="00B0268C" w:rsidRDefault="00B0268C">
      <w:pPr>
        <w:pStyle w:val="BodyText"/>
        <w:spacing w:before="4"/>
      </w:pPr>
    </w:p>
    <w:p w:rsidR="00B0268C" w:rsidRDefault="00C408FB">
      <w:pPr>
        <w:pStyle w:val="Heading2"/>
        <w:numPr>
          <w:ilvl w:val="1"/>
          <w:numId w:val="11"/>
        </w:numPr>
        <w:tabs>
          <w:tab w:val="left" w:pos="617"/>
        </w:tabs>
        <w:ind w:left="616" w:hanging="403"/>
      </w:pPr>
      <w:bookmarkStart w:id="43" w:name="_bookmark43"/>
      <w:bookmarkEnd w:id="43"/>
      <w:r>
        <w:t>Method of</w:t>
      </w:r>
      <w:r>
        <w:rPr>
          <w:spacing w:val="-3"/>
        </w:rPr>
        <w:t xml:space="preserve"> </w:t>
      </w:r>
      <w:r>
        <w:t>allocation</w:t>
      </w:r>
    </w:p>
    <w:p w:rsidR="00B0268C" w:rsidRDefault="00B0268C">
      <w:pPr>
        <w:pStyle w:val="BodyText"/>
        <w:spacing w:before="7"/>
        <w:rPr>
          <w:rFonts w:ascii="Arial"/>
          <w:b/>
          <w:sz w:val="22"/>
        </w:rPr>
      </w:pPr>
    </w:p>
    <w:p w:rsidR="00B0268C" w:rsidRDefault="00C408FB">
      <w:pPr>
        <w:pStyle w:val="BodyText"/>
        <w:spacing w:before="1"/>
        <w:ind w:left="214" w:right="269"/>
        <w:jc w:val="both"/>
      </w:pPr>
      <w:r>
        <w:t>The method of minimisation incorporating a random element will be used. There will be three stratifying factors: visual acuity (stratified by baseline BCVA letter score (≤38 [approximate Snellen equivalent &lt;6/60], 39–58 [approximate Snellen equivalent between 6/48 and 6/24 exclusive], ≥59 [approximate Snellen equivalent ≥ 6/18]) and onset of symptoms to presentation at hospital and commencement of therapy (&lt; 3 months, 3-6 months and &gt; 6 months) and prior treatment or</w:t>
      </w:r>
      <w:r>
        <w:rPr>
          <w:spacing w:val="-2"/>
        </w:rPr>
        <w:t xml:space="preserve"> </w:t>
      </w:r>
      <w:r>
        <w:t>not.</w:t>
      </w:r>
    </w:p>
    <w:p w:rsidR="00B0268C" w:rsidRDefault="00B0268C">
      <w:pPr>
        <w:pStyle w:val="BodyText"/>
        <w:spacing w:before="3"/>
        <w:rPr>
          <w:sz w:val="23"/>
        </w:rPr>
      </w:pPr>
    </w:p>
    <w:p w:rsidR="00B0268C" w:rsidRDefault="00C408FB">
      <w:pPr>
        <w:pStyle w:val="Heading2"/>
        <w:numPr>
          <w:ilvl w:val="1"/>
          <w:numId w:val="11"/>
        </w:numPr>
        <w:tabs>
          <w:tab w:val="left" w:pos="617"/>
        </w:tabs>
        <w:spacing w:before="1"/>
        <w:ind w:left="616" w:hanging="403"/>
      </w:pPr>
      <w:bookmarkStart w:id="44" w:name="_bookmark44"/>
      <w:bookmarkEnd w:id="44"/>
      <w:r>
        <w:t>Relative timing of</w:t>
      </w:r>
      <w:r>
        <w:rPr>
          <w:spacing w:val="-2"/>
        </w:rPr>
        <w:t xml:space="preserve"> </w:t>
      </w:r>
      <w:r>
        <w:t>randomisation</w:t>
      </w:r>
    </w:p>
    <w:p w:rsidR="00B0268C" w:rsidRDefault="00B0268C">
      <w:pPr>
        <w:pStyle w:val="BodyText"/>
        <w:spacing w:before="9"/>
        <w:rPr>
          <w:rFonts w:ascii="Arial"/>
          <w:b/>
          <w:sz w:val="22"/>
        </w:rPr>
      </w:pPr>
    </w:p>
    <w:p w:rsidR="00B0268C" w:rsidRDefault="00C408FB">
      <w:pPr>
        <w:pStyle w:val="BodyText"/>
        <w:ind w:left="214" w:right="274"/>
        <w:jc w:val="both"/>
      </w:pPr>
      <w:r>
        <w:t>Randomisation will be via a bespoke web based randomisation system hosted at the King's CTU on a secure server. Once a participant enters the study and their data is entered into the</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BodyText"/>
        <w:spacing w:before="81"/>
        <w:ind w:left="214" w:right="257"/>
      </w:pPr>
      <w:bookmarkStart w:id="45" w:name="_bookmark45"/>
      <w:bookmarkEnd w:id="45"/>
      <w:proofErr w:type="spellStart"/>
      <w:proofErr w:type="gramStart"/>
      <w:r>
        <w:lastRenderedPageBreak/>
        <w:t>eCRF</w:t>
      </w:r>
      <w:proofErr w:type="spellEnd"/>
      <w:proofErr w:type="gramEnd"/>
      <w:r>
        <w:t>, they will be allocated a unique study PIN. This, along with their date of birth and initials will be used to identify the participant and their data throughout the study.</w:t>
      </w:r>
    </w:p>
    <w:p w:rsidR="00B0268C" w:rsidRDefault="00B0268C">
      <w:pPr>
        <w:sectPr w:rsidR="00B0268C">
          <w:pgSz w:w="11910" w:h="16840"/>
          <w:pgMar w:top="1040" w:right="1200" w:bottom="1660" w:left="1260" w:header="712" w:footer="1442" w:gutter="0"/>
          <w:cols w:space="720"/>
        </w:sectPr>
      </w:pPr>
    </w:p>
    <w:p w:rsidR="00B0268C" w:rsidRDefault="00C408FB">
      <w:pPr>
        <w:pStyle w:val="Heading2"/>
        <w:numPr>
          <w:ilvl w:val="1"/>
          <w:numId w:val="11"/>
        </w:numPr>
        <w:tabs>
          <w:tab w:val="left" w:pos="617"/>
        </w:tabs>
        <w:spacing w:before="85"/>
        <w:ind w:left="616" w:hanging="403"/>
      </w:pPr>
      <w:r>
        <w:lastRenderedPageBreak/>
        <w:t>Subgroup</w:t>
      </w:r>
      <w:r>
        <w:rPr>
          <w:spacing w:val="-1"/>
        </w:rPr>
        <w:t xml:space="preserve"> </w:t>
      </w:r>
      <w:r>
        <w:t>variables</w:t>
      </w:r>
    </w:p>
    <w:p w:rsidR="00B0268C" w:rsidRDefault="00B0268C">
      <w:pPr>
        <w:pStyle w:val="BodyText"/>
        <w:spacing w:before="8"/>
        <w:rPr>
          <w:rFonts w:ascii="Arial"/>
          <w:b/>
          <w:sz w:val="23"/>
        </w:rPr>
      </w:pPr>
    </w:p>
    <w:p w:rsidR="00B0268C" w:rsidRDefault="00C408FB">
      <w:pPr>
        <w:pStyle w:val="BodyText"/>
        <w:ind w:left="214"/>
      </w:pPr>
      <w:r>
        <w:t>Three</w:t>
      </w:r>
      <w:r>
        <w:rPr>
          <w:spacing w:val="12"/>
        </w:rPr>
        <w:t xml:space="preserve"> </w:t>
      </w:r>
      <w:r>
        <w:t>subgroup</w:t>
      </w:r>
      <w:r>
        <w:rPr>
          <w:spacing w:val="14"/>
        </w:rPr>
        <w:t xml:space="preserve"> </w:t>
      </w:r>
      <w:r>
        <w:t>variables</w:t>
      </w:r>
      <w:r>
        <w:rPr>
          <w:spacing w:val="14"/>
        </w:rPr>
        <w:t xml:space="preserve"> </w:t>
      </w:r>
      <w:r>
        <w:t>will</w:t>
      </w:r>
      <w:r>
        <w:rPr>
          <w:spacing w:val="13"/>
        </w:rPr>
        <w:t xml:space="preserve"> </w:t>
      </w:r>
      <w:r>
        <w:t>be</w:t>
      </w:r>
      <w:r>
        <w:rPr>
          <w:spacing w:val="12"/>
        </w:rPr>
        <w:t xml:space="preserve"> </w:t>
      </w:r>
      <w:r>
        <w:t>considered:</w:t>
      </w:r>
      <w:r>
        <w:rPr>
          <w:spacing w:val="18"/>
        </w:rPr>
        <w:t xml:space="preserve"> </w:t>
      </w:r>
      <w:proofErr w:type="spellStart"/>
      <w:r>
        <w:t>i</w:t>
      </w:r>
      <w:proofErr w:type="spellEnd"/>
      <w:r>
        <w:t>)</w:t>
      </w:r>
      <w:r>
        <w:rPr>
          <w:spacing w:val="13"/>
        </w:rPr>
        <w:t xml:space="preserve"> </w:t>
      </w:r>
      <w:r>
        <w:t>baseline</w:t>
      </w:r>
      <w:r>
        <w:rPr>
          <w:spacing w:val="13"/>
        </w:rPr>
        <w:t xml:space="preserve"> </w:t>
      </w:r>
      <w:r>
        <w:t>visual</w:t>
      </w:r>
      <w:r>
        <w:rPr>
          <w:spacing w:val="13"/>
        </w:rPr>
        <w:t xml:space="preserve"> </w:t>
      </w:r>
      <w:r>
        <w:t>acuity</w:t>
      </w:r>
      <w:r>
        <w:rPr>
          <w:spacing w:val="8"/>
        </w:rPr>
        <w:t xml:space="preserve"> </w:t>
      </w:r>
      <w:r>
        <w:t>(low,</w:t>
      </w:r>
      <w:r>
        <w:rPr>
          <w:spacing w:val="13"/>
        </w:rPr>
        <w:t xml:space="preserve"> </w:t>
      </w:r>
      <w:r>
        <w:t>moderate,</w:t>
      </w:r>
      <w:r>
        <w:rPr>
          <w:spacing w:val="12"/>
        </w:rPr>
        <w:t xml:space="preserve"> </w:t>
      </w:r>
      <w:r>
        <w:t>high:</w:t>
      </w:r>
    </w:p>
    <w:p w:rsidR="00B0268C" w:rsidRDefault="00C408FB">
      <w:pPr>
        <w:pStyle w:val="BodyText"/>
        <w:spacing w:before="3"/>
        <w:ind w:left="214"/>
      </w:pPr>
      <w:r>
        <w:t xml:space="preserve">≤38 letters, 39-58 letters, 59-78 letters), ii) disease duration (&lt;3 months, </w:t>
      </w:r>
      <w:r>
        <w:rPr>
          <w:rFonts w:ascii="Cambria Math" w:hAnsi="Cambria Math"/>
        </w:rPr>
        <w:t>≥</w:t>
      </w:r>
      <w:r>
        <w:t xml:space="preserve">3 months) and iii) quantity of </w:t>
      </w:r>
      <w:proofErr w:type="gramStart"/>
      <w:r>
        <w:t>retinal  ischaemia</w:t>
      </w:r>
      <w:proofErr w:type="gramEnd"/>
      <w:r>
        <w:t xml:space="preserve"> (non-ischaemic vs  ischaemic vs  very ischaemic CRVO </w:t>
      </w:r>
      <w:r>
        <w:rPr>
          <w:spacing w:val="47"/>
        </w:rPr>
        <w:t xml:space="preserve"> </w:t>
      </w:r>
      <w:r>
        <w:t>(&lt;10,</w:t>
      </w:r>
    </w:p>
    <w:p w:rsidR="00B0268C" w:rsidRDefault="00C408FB">
      <w:pPr>
        <w:pStyle w:val="BodyText"/>
        <w:spacing w:line="275" w:lineRule="exact"/>
        <w:ind w:left="214"/>
      </w:pPr>
      <w:r>
        <w:t>≥10 and ≥ 30 DA of non-perfusion</w:t>
      </w:r>
      <w:proofErr w:type="gramStart"/>
      <w:r>
        <w:t>) .</w:t>
      </w:r>
      <w:proofErr w:type="gramEnd"/>
    </w:p>
    <w:p w:rsidR="00B0268C" w:rsidRDefault="00B0268C">
      <w:pPr>
        <w:pStyle w:val="BodyText"/>
      </w:pPr>
    </w:p>
    <w:p w:rsidR="00B0268C" w:rsidRDefault="00C408FB">
      <w:pPr>
        <w:pStyle w:val="BodyText"/>
        <w:ind w:left="214" w:right="276"/>
        <w:jc w:val="both"/>
      </w:pPr>
      <w:r>
        <w:t>These are based on the fact that visual gain in the low vision group may be higher than that achieved by the high vision group and this effect may be different between arms. Patients with ischaemic CRVO may not have similar visual acuity gains to those with no ischaemia and this effect may be different between treatment arms. The shorter the duration of disease, the better the visual acuity outcomes but this may vary between treatment arms.</w:t>
      </w:r>
    </w:p>
    <w:p w:rsidR="00B0268C" w:rsidRDefault="00B0268C">
      <w:pPr>
        <w:pStyle w:val="BodyText"/>
        <w:rPr>
          <w:sz w:val="26"/>
        </w:rPr>
      </w:pPr>
    </w:p>
    <w:p w:rsidR="00B0268C" w:rsidRDefault="00C408FB">
      <w:pPr>
        <w:pStyle w:val="Heading1"/>
        <w:spacing w:before="222"/>
      </w:pPr>
      <w:bookmarkStart w:id="46" w:name="_bookmark46"/>
      <w:bookmarkEnd w:id="46"/>
      <w:r>
        <w:t>9.0 Blinding</w:t>
      </w:r>
    </w:p>
    <w:p w:rsidR="00B0268C" w:rsidRDefault="00B0268C">
      <w:pPr>
        <w:pStyle w:val="BodyText"/>
        <w:spacing w:before="7"/>
        <w:rPr>
          <w:rFonts w:ascii="Arial"/>
          <w:b/>
          <w:sz w:val="23"/>
        </w:rPr>
      </w:pPr>
    </w:p>
    <w:p w:rsidR="00B0268C" w:rsidRDefault="00C408FB">
      <w:pPr>
        <w:pStyle w:val="BodyText"/>
        <w:ind w:left="214" w:right="270"/>
        <w:jc w:val="both"/>
      </w:pPr>
      <w:r>
        <w:t>The trial will be double masked. Study participants, clinicians and members of the research team who will undertake key measurements (visual acuity, morphology) will be masked to group allocation. The clinician administering the drug injected into the vitreous will not be masked. This will ensure that the study has a high level of both treatment integrity (delivery of the treatment as intended) and treatment differentiation (treatment conditions differed from one another in the intended</w:t>
      </w:r>
      <w:r>
        <w:rPr>
          <w:spacing w:val="-2"/>
        </w:rPr>
        <w:t xml:space="preserve"> </w:t>
      </w:r>
      <w:r>
        <w:t>manner).</w:t>
      </w:r>
    </w:p>
    <w:p w:rsidR="00B0268C" w:rsidRDefault="00B0268C">
      <w:pPr>
        <w:pStyle w:val="BodyText"/>
      </w:pPr>
    </w:p>
    <w:p w:rsidR="00B0268C" w:rsidRDefault="00C408FB">
      <w:pPr>
        <w:pStyle w:val="BodyText"/>
        <w:ind w:left="214" w:right="276"/>
        <w:jc w:val="both"/>
      </w:pPr>
      <w:r>
        <w:t xml:space="preserve">The trial statistician will have access to the accumulating outcome data that is required for reporting to the </w:t>
      </w:r>
      <w:proofErr w:type="spellStart"/>
      <w:r>
        <w:t>DMC.Both</w:t>
      </w:r>
      <w:proofErr w:type="spellEnd"/>
      <w:r>
        <w:t xml:space="preserve"> the trial statisticians will attend both the open and closed DMC meetings.</w:t>
      </w:r>
    </w:p>
    <w:p w:rsidR="00B0268C" w:rsidRDefault="00B0268C">
      <w:pPr>
        <w:pStyle w:val="BodyText"/>
        <w:rPr>
          <w:sz w:val="26"/>
        </w:rPr>
      </w:pPr>
    </w:p>
    <w:p w:rsidR="00B0268C" w:rsidRDefault="00B0268C">
      <w:pPr>
        <w:pStyle w:val="BodyText"/>
        <w:spacing w:before="5"/>
        <w:rPr>
          <w:sz w:val="22"/>
        </w:rPr>
      </w:pPr>
    </w:p>
    <w:p w:rsidR="00B0268C" w:rsidRDefault="00C408FB">
      <w:pPr>
        <w:pStyle w:val="Heading1"/>
        <w:numPr>
          <w:ilvl w:val="1"/>
          <w:numId w:val="10"/>
        </w:numPr>
        <w:tabs>
          <w:tab w:val="left" w:pos="841"/>
        </w:tabs>
        <w:spacing w:before="0"/>
      </w:pPr>
      <w:bookmarkStart w:id="47" w:name="_bookmark47"/>
      <w:bookmarkEnd w:id="47"/>
      <w:r>
        <w:t>Data and Distributions</w:t>
      </w:r>
    </w:p>
    <w:p w:rsidR="00B0268C" w:rsidRDefault="00C408FB">
      <w:pPr>
        <w:pStyle w:val="Heading2"/>
        <w:numPr>
          <w:ilvl w:val="1"/>
          <w:numId w:val="10"/>
        </w:numPr>
        <w:tabs>
          <w:tab w:val="left" w:pos="750"/>
        </w:tabs>
        <w:spacing w:before="263"/>
        <w:ind w:left="749" w:hanging="536"/>
      </w:pPr>
      <w:bookmarkStart w:id="48" w:name="_bookmark48"/>
      <w:bookmarkEnd w:id="48"/>
      <w:r>
        <w:t>Data decisions</w:t>
      </w:r>
      <w:r>
        <w:rPr>
          <w:spacing w:val="-3"/>
        </w:rPr>
        <w:t xml:space="preserve"> </w:t>
      </w:r>
      <w:r>
        <w:t>made</w:t>
      </w:r>
    </w:p>
    <w:p w:rsidR="00B0268C" w:rsidRDefault="00B0268C">
      <w:pPr>
        <w:pStyle w:val="BodyText"/>
        <w:spacing w:before="10"/>
        <w:rPr>
          <w:rFonts w:ascii="Arial"/>
          <w:b/>
          <w:sz w:val="27"/>
        </w:rPr>
      </w:pPr>
    </w:p>
    <w:p w:rsidR="00B0268C" w:rsidRDefault="00C408FB">
      <w:pPr>
        <w:pStyle w:val="BodyText"/>
        <w:ind w:left="214" w:right="272"/>
        <w:jc w:val="both"/>
      </w:pPr>
      <w:r>
        <w:t>The data manager will make limited decisions about data variables and values so that issues such as missing data can be comprehensively handled by the trial statistician. Decisions which impact on the analysis will be recorded in an appendix of this statistical analysis plan.</w:t>
      </w:r>
    </w:p>
    <w:p w:rsidR="00B0268C" w:rsidRDefault="00B0268C">
      <w:pPr>
        <w:pStyle w:val="BodyText"/>
        <w:spacing w:before="3"/>
      </w:pPr>
    </w:p>
    <w:p w:rsidR="00B0268C" w:rsidRDefault="00C408FB">
      <w:pPr>
        <w:pStyle w:val="Heading2"/>
        <w:numPr>
          <w:ilvl w:val="1"/>
          <w:numId w:val="10"/>
        </w:numPr>
        <w:tabs>
          <w:tab w:val="left" w:pos="750"/>
        </w:tabs>
        <w:spacing w:before="1"/>
        <w:ind w:left="749" w:hanging="536"/>
      </w:pPr>
      <w:bookmarkStart w:id="49" w:name="_bookmark49"/>
      <w:bookmarkEnd w:id="49"/>
      <w:r>
        <w:t>Outcomes requiring</w:t>
      </w:r>
      <w:r>
        <w:rPr>
          <w:spacing w:val="-1"/>
        </w:rPr>
        <w:t xml:space="preserve"> </w:t>
      </w:r>
      <w:r>
        <w:t>derivation</w:t>
      </w:r>
    </w:p>
    <w:p w:rsidR="00B0268C" w:rsidRDefault="00B0268C">
      <w:pPr>
        <w:pStyle w:val="BodyText"/>
        <w:spacing w:before="9"/>
        <w:rPr>
          <w:rFonts w:ascii="Arial"/>
          <w:b/>
          <w:sz w:val="27"/>
        </w:rPr>
      </w:pPr>
    </w:p>
    <w:p w:rsidR="00B0268C" w:rsidRDefault="00C408FB">
      <w:pPr>
        <w:pStyle w:val="BodyText"/>
        <w:ind w:left="214"/>
        <w:jc w:val="both"/>
      </w:pPr>
      <w:r>
        <w:t>List of outcomes with source of derivation code:</w:t>
      </w:r>
    </w:p>
    <w:p w:rsidR="00B0268C" w:rsidRDefault="00B0268C">
      <w:pPr>
        <w:pStyle w:val="BodyText"/>
      </w:pPr>
    </w:p>
    <w:p w:rsidR="00B0268C" w:rsidRDefault="00C408FB">
      <w:pPr>
        <w:pStyle w:val="ListParagraph"/>
        <w:numPr>
          <w:ilvl w:val="2"/>
          <w:numId w:val="10"/>
        </w:numPr>
        <w:tabs>
          <w:tab w:val="left" w:pos="934"/>
        </w:tabs>
        <w:ind w:right="269"/>
        <w:jc w:val="both"/>
        <w:rPr>
          <w:sz w:val="24"/>
        </w:rPr>
      </w:pPr>
      <w:r>
        <w:rPr>
          <w:b/>
          <w:sz w:val="24"/>
        </w:rPr>
        <w:t xml:space="preserve">VFQ-25 </w:t>
      </w:r>
      <w:r>
        <w:rPr>
          <w:sz w:val="24"/>
        </w:rPr>
        <w:t>(</w:t>
      </w:r>
      <w:hyperlink w:anchor="_bookmark97" w:history="1">
        <w:r>
          <w:rPr>
            <w:sz w:val="24"/>
          </w:rPr>
          <w:t>16</w:t>
        </w:r>
      </w:hyperlink>
      <w:r>
        <w:rPr>
          <w:sz w:val="24"/>
        </w:rPr>
        <w:t xml:space="preserve">): a validated tool for vision related quality of life. </w:t>
      </w:r>
      <w:r>
        <w:rPr>
          <w:spacing w:val="-3"/>
          <w:sz w:val="24"/>
        </w:rPr>
        <w:t xml:space="preserve">It </w:t>
      </w:r>
      <w:r>
        <w:rPr>
          <w:sz w:val="24"/>
        </w:rPr>
        <w:t>consists of a base set of 25 vision targeted questions representing 11 vision-related sub-scales, plus an additional single-item general health rating question. The overall composite score is computed as the simple average of the vision-targeted sub-scale scores, excluding the general health rating question. The overall score can range from 0 (worst possible score) to 100</w:t>
      </w:r>
      <w:r>
        <w:rPr>
          <w:spacing w:val="-1"/>
          <w:sz w:val="24"/>
        </w:rPr>
        <w:t xml:space="preserve"> </w:t>
      </w:r>
      <w:r>
        <w:rPr>
          <w:sz w:val="24"/>
        </w:rPr>
        <w:t>(best).</w:t>
      </w:r>
    </w:p>
    <w:p w:rsidR="00B0268C" w:rsidRDefault="00B0268C">
      <w:pPr>
        <w:pStyle w:val="BodyText"/>
        <w:spacing w:before="1"/>
      </w:pPr>
    </w:p>
    <w:p w:rsidR="00B0268C" w:rsidRDefault="00C408FB">
      <w:pPr>
        <w:pStyle w:val="BodyText"/>
        <w:ind w:left="934" w:right="270"/>
        <w:jc w:val="both"/>
      </w:pPr>
      <w:r>
        <w:rPr>
          <w:b/>
        </w:rPr>
        <w:t xml:space="preserve">EQ-5D </w:t>
      </w:r>
      <w:r>
        <w:t>(</w:t>
      </w:r>
      <w:hyperlink w:anchor="_bookmark98" w:history="1">
        <w:r>
          <w:t>17-19</w:t>
        </w:r>
      </w:hyperlink>
      <w:r>
        <w:t>) with and without vision bolt-on: The EQ-5D is a generic instrument for describing and valuing health. It is based on a descriptive system that defines health in terms of 5 dimensions (Mobility, Self-care, Usual activities,</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BodyText"/>
        <w:spacing w:before="81"/>
        <w:ind w:left="934" w:right="272"/>
        <w:jc w:val="both"/>
      </w:pPr>
      <w:proofErr w:type="gramStart"/>
      <w:r>
        <w:lastRenderedPageBreak/>
        <w:t>Pain/Discomfort, Anxiety/Depression.</w:t>
      </w:r>
      <w:proofErr w:type="gramEnd"/>
      <w:r>
        <w:t xml:space="preserve"> Each dimension has 5 response categories (EQ-5D-5L) corresponding to </w:t>
      </w:r>
      <w:proofErr w:type="spellStart"/>
      <w:r>
        <w:t>eg</w:t>
      </w:r>
      <w:proofErr w:type="spellEnd"/>
      <w:r>
        <w:t>. “</w:t>
      </w:r>
      <w:proofErr w:type="gramStart"/>
      <w:r>
        <w:t>no</w:t>
      </w:r>
      <w:proofErr w:type="gramEnd"/>
      <w:r>
        <w:t xml:space="preserve"> </w:t>
      </w:r>
      <w:proofErr w:type="spellStart"/>
      <w:r>
        <w:t>problems",”slight</w:t>
      </w:r>
      <w:proofErr w:type="spellEnd"/>
      <w:r>
        <w:t xml:space="preserve"> problems”, “moderate problems”, “severe problems”, and “unable to/extreme problems”. A preference- based score ranges from states worse than dead (&lt;0) to 1 (full health), anchoring dead at 0. In addition, the EQ-5D includes a visual analogue scale (EQ-VAS), which records the respondent’s self-rated health on a vertical scale where the endpoints are labelled ‘Best imaginable health state’ (marked as 100) and ‘Worst imaginable health state’ (marked as 0).</w:t>
      </w:r>
    </w:p>
    <w:p w:rsidR="00B0268C" w:rsidRDefault="00C408FB">
      <w:pPr>
        <w:pStyle w:val="BodyText"/>
        <w:ind w:left="934" w:right="272"/>
        <w:jc w:val="both"/>
      </w:pPr>
      <w:r>
        <w:t>The EQ-5D with bolt-on is similar to the EQ-5D-5L but another dimension was added (vision) in order to overcome perceived inadequacies in a particular population. The corresponding scoring system for the EQ-5D vision 'bolt-on' on has not been finalised yet. Further details are developed in the HEDMAP.</w:t>
      </w:r>
    </w:p>
    <w:p w:rsidR="00B0268C" w:rsidRDefault="00C408FB">
      <w:pPr>
        <w:pStyle w:val="ListParagraph"/>
        <w:numPr>
          <w:ilvl w:val="2"/>
          <w:numId w:val="9"/>
        </w:numPr>
        <w:tabs>
          <w:tab w:val="left" w:pos="824"/>
        </w:tabs>
        <w:spacing w:before="205"/>
        <w:rPr>
          <w:rFonts w:ascii="Arial"/>
          <w:b/>
          <w:sz w:val="20"/>
        </w:rPr>
      </w:pPr>
      <w:bookmarkStart w:id="50" w:name="_bookmark50"/>
      <w:bookmarkEnd w:id="50"/>
      <w:r>
        <w:rPr>
          <w:rFonts w:ascii="Arial"/>
          <w:b/>
          <w:sz w:val="20"/>
        </w:rPr>
        <w:t>Procedure for deriving</w:t>
      </w:r>
      <w:r>
        <w:rPr>
          <w:rFonts w:ascii="Arial"/>
          <w:b/>
          <w:spacing w:val="-3"/>
          <w:sz w:val="20"/>
        </w:rPr>
        <w:t xml:space="preserve"> </w:t>
      </w:r>
      <w:r>
        <w:rPr>
          <w:rFonts w:ascii="Arial"/>
          <w:b/>
          <w:sz w:val="20"/>
        </w:rPr>
        <w:t>variables</w:t>
      </w:r>
    </w:p>
    <w:p w:rsidR="00B0268C" w:rsidRDefault="00B0268C">
      <w:pPr>
        <w:pStyle w:val="BodyText"/>
        <w:spacing w:before="9"/>
        <w:rPr>
          <w:rFonts w:ascii="Arial"/>
          <w:b/>
          <w:sz w:val="23"/>
        </w:rPr>
      </w:pPr>
    </w:p>
    <w:p w:rsidR="00B0268C" w:rsidRDefault="00C408FB">
      <w:pPr>
        <w:pStyle w:val="BodyText"/>
        <w:ind w:left="214" w:right="272"/>
        <w:jc w:val="both"/>
      </w:pPr>
      <w:r>
        <w:t>If there is existing syntax code to derive a variable within the King's Clinical Trials Unit then this will be used. Otherwise new code will be developed by the trial statistician and verified by the senior statistician.</w:t>
      </w:r>
    </w:p>
    <w:p w:rsidR="00B0268C" w:rsidRDefault="00C408FB">
      <w:pPr>
        <w:pStyle w:val="ListParagraph"/>
        <w:numPr>
          <w:ilvl w:val="2"/>
          <w:numId w:val="9"/>
        </w:numPr>
        <w:tabs>
          <w:tab w:val="left" w:pos="824"/>
        </w:tabs>
        <w:spacing w:before="205"/>
        <w:rPr>
          <w:rFonts w:ascii="Arial"/>
          <w:b/>
          <w:sz w:val="20"/>
        </w:rPr>
      </w:pPr>
      <w:bookmarkStart w:id="51" w:name="_bookmark51"/>
      <w:bookmarkEnd w:id="51"/>
      <w:r>
        <w:rPr>
          <w:rFonts w:ascii="Arial"/>
          <w:b/>
          <w:sz w:val="20"/>
        </w:rPr>
        <w:t>Missing items in scale and</w:t>
      </w:r>
      <w:r>
        <w:rPr>
          <w:rFonts w:ascii="Arial"/>
          <w:b/>
          <w:spacing w:val="1"/>
          <w:sz w:val="20"/>
        </w:rPr>
        <w:t xml:space="preserve"> </w:t>
      </w:r>
      <w:r>
        <w:rPr>
          <w:rFonts w:ascii="Arial"/>
          <w:b/>
          <w:sz w:val="20"/>
        </w:rPr>
        <w:t>subscales</w:t>
      </w:r>
    </w:p>
    <w:p w:rsidR="00B0268C" w:rsidRDefault="00B0268C">
      <w:pPr>
        <w:pStyle w:val="BodyText"/>
        <w:spacing w:before="7"/>
        <w:rPr>
          <w:rFonts w:ascii="Arial"/>
          <w:b/>
          <w:sz w:val="23"/>
        </w:rPr>
      </w:pPr>
    </w:p>
    <w:p w:rsidR="00B0268C" w:rsidRDefault="00C408FB">
      <w:pPr>
        <w:pStyle w:val="BodyText"/>
        <w:ind w:left="214" w:right="806"/>
      </w:pPr>
      <w:r>
        <w:t>The number (%) of patients with complete data for each scale will be reported. If scales provide missing value guidance then this will be used.</w:t>
      </w:r>
    </w:p>
    <w:p w:rsidR="00B0268C" w:rsidRDefault="00B0268C">
      <w:pPr>
        <w:pStyle w:val="BodyText"/>
        <w:spacing w:before="3"/>
        <w:rPr>
          <w:sz w:val="23"/>
        </w:rPr>
      </w:pPr>
    </w:p>
    <w:p w:rsidR="00B0268C" w:rsidRDefault="00C408FB">
      <w:pPr>
        <w:pStyle w:val="Heading2"/>
        <w:numPr>
          <w:ilvl w:val="1"/>
          <w:numId w:val="10"/>
        </w:numPr>
        <w:tabs>
          <w:tab w:val="left" w:pos="749"/>
        </w:tabs>
        <w:ind w:left="748" w:hanging="535"/>
      </w:pPr>
      <w:bookmarkStart w:id="52" w:name="_bookmark52"/>
      <w:bookmarkEnd w:id="52"/>
      <w:r>
        <w:t>Use of data</w:t>
      </w:r>
      <w:r>
        <w:rPr>
          <w:spacing w:val="-1"/>
        </w:rPr>
        <w:t xml:space="preserve"> </w:t>
      </w:r>
      <w:r>
        <w:t>transformation</w:t>
      </w:r>
    </w:p>
    <w:p w:rsidR="00B0268C" w:rsidRDefault="00B0268C">
      <w:pPr>
        <w:pStyle w:val="BodyText"/>
        <w:spacing w:before="8"/>
        <w:rPr>
          <w:rFonts w:ascii="Arial"/>
          <w:b/>
          <w:sz w:val="23"/>
        </w:rPr>
      </w:pPr>
    </w:p>
    <w:p w:rsidR="00B0268C" w:rsidRDefault="00C408FB">
      <w:pPr>
        <w:pStyle w:val="BodyText"/>
        <w:ind w:left="214" w:right="268"/>
        <w:jc w:val="both"/>
      </w:pPr>
      <w:r>
        <w:t xml:space="preserve">It is not anticipated that any continuous outcomes will need to be considered for transformation, because the sample size is reasonably large for group comparisons in the main trial analyses. Assumptions of normality and constant variance required by the models will be examined using residual and other diagnostic plots. </w:t>
      </w:r>
      <w:r>
        <w:rPr>
          <w:spacing w:val="-3"/>
        </w:rPr>
        <w:t xml:space="preserve">If </w:t>
      </w:r>
      <w:r>
        <w:t xml:space="preserve">it is relevant, and necessary, where sample size is reduced, a log transformation will be considered, because this retains a sensible interpretation for inferences; in relative terms between arms. </w:t>
      </w:r>
      <w:r>
        <w:rPr>
          <w:spacing w:val="-3"/>
        </w:rPr>
        <w:t xml:space="preserve">If </w:t>
      </w:r>
      <w:r>
        <w:t>an absolute interpretation is needed, then data transformation may not be undertaken, but a nonparametric Bootstrap method for obtaining confidence intervals may be considered</w:t>
      </w:r>
      <w:r>
        <w:rPr>
          <w:spacing w:val="-12"/>
        </w:rPr>
        <w:t xml:space="preserve"> </w:t>
      </w:r>
      <w:r>
        <w:t>(</w:t>
      </w:r>
      <w:hyperlink w:anchor="_bookmark99" w:history="1">
        <w:r>
          <w:t>20</w:t>
        </w:r>
      </w:hyperlink>
      <w:r>
        <w:t>).</w:t>
      </w:r>
    </w:p>
    <w:p w:rsidR="00B0268C" w:rsidRDefault="00B0268C">
      <w:pPr>
        <w:pStyle w:val="BodyText"/>
        <w:spacing w:before="4"/>
      </w:pPr>
    </w:p>
    <w:p w:rsidR="00B0268C" w:rsidRDefault="00C408FB">
      <w:pPr>
        <w:pStyle w:val="Heading2"/>
        <w:numPr>
          <w:ilvl w:val="1"/>
          <w:numId w:val="10"/>
        </w:numPr>
        <w:tabs>
          <w:tab w:val="left" w:pos="749"/>
        </w:tabs>
        <w:ind w:left="748" w:hanging="535"/>
      </w:pPr>
      <w:bookmarkStart w:id="53" w:name="_bookmark53"/>
      <w:bookmarkEnd w:id="53"/>
      <w:r>
        <w:t>Defining</w:t>
      </w:r>
      <w:r>
        <w:rPr>
          <w:spacing w:val="-1"/>
        </w:rPr>
        <w:t xml:space="preserve"> </w:t>
      </w:r>
      <w:r>
        <w:t>Outliers</w:t>
      </w:r>
    </w:p>
    <w:p w:rsidR="00B0268C" w:rsidRDefault="00B0268C">
      <w:pPr>
        <w:pStyle w:val="BodyText"/>
        <w:spacing w:before="7"/>
        <w:rPr>
          <w:rFonts w:ascii="Arial"/>
          <w:b/>
          <w:sz w:val="22"/>
        </w:rPr>
      </w:pPr>
    </w:p>
    <w:p w:rsidR="00B0268C" w:rsidRDefault="00C408FB">
      <w:pPr>
        <w:pStyle w:val="BodyText"/>
        <w:spacing w:before="1"/>
        <w:ind w:left="214" w:right="272"/>
        <w:jc w:val="both"/>
        <w:rPr>
          <w:i/>
        </w:rPr>
      </w:pPr>
      <w:r>
        <w:t>Outliers are observations that have extreme values relative to other observations observed under the same conditions. An outlier will be defined here as a data-point being at least four standard deviations from the mean of its distribution of values observed across other patients. This definition will apply to the transformed scale for those outcomes that have been log</w:t>
      </w:r>
      <w:r>
        <w:rPr>
          <w:spacing w:val="-4"/>
        </w:rPr>
        <w:t xml:space="preserve"> </w:t>
      </w:r>
      <w:r>
        <w:t>transformed</w:t>
      </w:r>
      <w:r>
        <w:rPr>
          <w:i/>
          <w:color w:val="00AF50"/>
        </w:rPr>
        <w:t>.</w:t>
      </w:r>
    </w:p>
    <w:p w:rsidR="00B0268C" w:rsidRDefault="00B0268C">
      <w:pPr>
        <w:pStyle w:val="BodyText"/>
        <w:rPr>
          <w:i/>
        </w:rPr>
      </w:pPr>
    </w:p>
    <w:p w:rsidR="00B0268C" w:rsidRDefault="00C408FB">
      <w:pPr>
        <w:pStyle w:val="BodyText"/>
        <w:ind w:left="214" w:right="270"/>
        <w:jc w:val="both"/>
      </w:pPr>
      <w:r>
        <w:t xml:space="preserve">A “bivariate outlier‟ for checking will be defined here as a pair of successive serial data- points of the same measure for a participant whose difference is at least four standard deviations from the mean of all patients’ such differences. Simple plots of successive </w:t>
      </w:r>
      <w:proofErr w:type="gramStart"/>
      <w:r>
        <w:t>pairs  of</w:t>
      </w:r>
      <w:proofErr w:type="gramEnd"/>
      <w:r>
        <w:t xml:space="preserve"> serial measures will be used through the 24-month period to assist in identifying outliers for data</w:t>
      </w:r>
      <w:r>
        <w:rPr>
          <w:spacing w:val="-2"/>
        </w:rPr>
        <w:t xml:space="preserve"> </w:t>
      </w:r>
      <w:r>
        <w:t>checking.</w:t>
      </w:r>
    </w:p>
    <w:p w:rsidR="00B0268C" w:rsidRDefault="00B0268C">
      <w:pPr>
        <w:pStyle w:val="BodyText"/>
        <w:spacing w:before="4"/>
        <w:rPr>
          <w:sz w:val="23"/>
        </w:rPr>
      </w:pPr>
    </w:p>
    <w:p w:rsidR="00B0268C" w:rsidRDefault="00C408FB">
      <w:pPr>
        <w:pStyle w:val="Heading2"/>
        <w:numPr>
          <w:ilvl w:val="1"/>
          <w:numId w:val="10"/>
        </w:numPr>
        <w:tabs>
          <w:tab w:val="left" w:pos="749"/>
        </w:tabs>
        <w:ind w:left="748" w:hanging="535"/>
      </w:pPr>
      <w:bookmarkStart w:id="54" w:name="_bookmark54"/>
      <w:bookmarkEnd w:id="54"/>
      <w:r>
        <w:t>Handling</w:t>
      </w:r>
      <w:r>
        <w:rPr>
          <w:spacing w:val="-1"/>
        </w:rPr>
        <w:t xml:space="preserve"> </w:t>
      </w:r>
      <w:r>
        <w:t>outliers</w:t>
      </w:r>
    </w:p>
    <w:p w:rsidR="00B0268C" w:rsidRDefault="00B0268C">
      <w:pPr>
        <w:sectPr w:rsidR="00B0268C">
          <w:pgSz w:w="11910" w:h="16840"/>
          <w:pgMar w:top="1040" w:right="1200" w:bottom="1660" w:left="1260" w:header="712" w:footer="1442" w:gutter="0"/>
          <w:cols w:space="720"/>
        </w:sectPr>
      </w:pPr>
    </w:p>
    <w:p w:rsidR="00B0268C" w:rsidRDefault="00C408FB">
      <w:pPr>
        <w:pStyle w:val="BodyText"/>
        <w:spacing w:before="81"/>
        <w:ind w:left="214" w:right="270"/>
        <w:jc w:val="both"/>
      </w:pPr>
      <w:r>
        <w:lastRenderedPageBreak/>
        <w:t>Outliers will be identified for further investigation by looking at the distributions of the data through histograms, scatter plots or box-plots. Univariate tests for the compatibility of the distribution with a normal distribution will not be undertaken since they can be too sensitive to departures that are often not relevant for the comparison of means (Central Limit Theorem).</w:t>
      </w:r>
    </w:p>
    <w:p w:rsidR="00B0268C" w:rsidRDefault="00B0268C">
      <w:pPr>
        <w:pStyle w:val="BodyText"/>
      </w:pPr>
    </w:p>
    <w:p w:rsidR="00B0268C" w:rsidRDefault="00C408FB">
      <w:pPr>
        <w:pStyle w:val="BodyText"/>
        <w:ind w:left="214" w:right="269"/>
        <w:jc w:val="both"/>
      </w:pPr>
      <w:r>
        <w:t>Once an outlier is found, a blinded member of the team with sufficient clinical experience will be involved in the decisions as to whether a data value is impossible versus implausible versus plausible. If the outlier is impossible, then it will be set to missing, and a list of these occurrences will be appended to this SAP. If an outlier is clinically plausible, the outlier will remain. If an outlier is clinically implausible (but possible), it will not be ignored or deleted but will be retained for ITT analysis.</w:t>
      </w:r>
    </w:p>
    <w:p w:rsidR="00B0268C" w:rsidRDefault="00B0268C">
      <w:pPr>
        <w:pStyle w:val="BodyText"/>
      </w:pPr>
    </w:p>
    <w:p w:rsidR="00B0268C" w:rsidRDefault="00C408FB">
      <w:pPr>
        <w:pStyle w:val="BodyText"/>
        <w:spacing w:before="1"/>
        <w:ind w:left="214" w:right="271"/>
        <w:jc w:val="both"/>
      </w:pPr>
      <w:r>
        <w:t>If outliers remain in the distribution of a variable, then data transformations or nonparametric methods of analysis may be considered.</w:t>
      </w:r>
    </w:p>
    <w:p w:rsidR="00B0268C" w:rsidRDefault="00B0268C">
      <w:pPr>
        <w:pStyle w:val="BodyText"/>
      </w:pPr>
    </w:p>
    <w:p w:rsidR="00B0268C" w:rsidRDefault="00C408FB">
      <w:pPr>
        <w:pStyle w:val="BodyText"/>
        <w:ind w:left="214" w:right="270"/>
        <w:jc w:val="both"/>
      </w:pPr>
      <w:r>
        <w:t>Sensitivity analysis will be undertaken to check whether the outlier is influential by obtaining results with and then without inclusion of the outlier. If the conclusions are changed, then this will be</w:t>
      </w:r>
      <w:r>
        <w:rPr>
          <w:spacing w:val="-2"/>
        </w:rPr>
        <w:t xml:space="preserve"> </w:t>
      </w:r>
      <w:r>
        <w:t>noted.</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Heading1"/>
        <w:numPr>
          <w:ilvl w:val="1"/>
          <w:numId w:val="8"/>
        </w:numPr>
        <w:tabs>
          <w:tab w:val="left" w:pos="840"/>
        </w:tabs>
      </w:pPr>
      <w:bookmarkStart w:id="55" w:name="_bookmark55"/>
      <w:bookmarkEnd w:id="55"/>
      <w:r>
        <w:lastRenderedPageBreak/>
        <w:t>Descriptive analysis</w:t>
      </w:r>
    </w:p>
    <w:p w:rsidR="00B0268C" w:rsidRDefault="00C408FB">
      <w:pPr>
        <w:pStyle w:val="Heading2"/>
        <w:numPr>
          <w:ilvl w:val="1"/>
          <w:numId w:val="8"/>
        </w:numPr>
        <w:tabs>
          <w:tab w:val="left" w:pos="749"/>
        </w:tabs>
        <w:spacing w:before="266"/>
        <w:ind w:left="748" w:hanging="535"/>
      </w:pPr>
      <w:bookmarkStart w:id="56" w:name="_bookmark56"/>
      <w:bookmarkEnd w:id="56"/>
      <w:r>
        <w:t>Flow</w:t>
      </w:r>
      <w:r>
        <w:rPr>
          <w:spacing w:val="1"/>
        </w:rPr>
        <w:t xml:space="preserve"> </w:t>
      </w:r>
      <w:r>
        <w:t>diagram</w:t>
      </w:r>
    </w:p>
    <w:p w:rsidR="00B0268C" w:rsidRDefault="00B0268C">
      <w:pPr>
        <w:pStyle w:val="BodyText"/>
        <w:spacing w:before="8"/>
        <w:rPr>
          <w:rFonts w:ascii="Arial"/>
          <w:b/>
          <w:sz w:val="23"/>
        </w:rPr>
      </w:pPr>
    </w:p>
    <w:p w:rsidR="00B0268C" w:rsidRDefault="00C408FB">
      <w:pPr>
        <w:pStyle w:val="BodyText"/>
        <w:ind w:left="214" w:right="270"/>
        <w:jc w:val="both"/>
      </w:pPr>
      <w:r>
        <w:t>The flow diagram of the study is the one below. This will include the number randomised, who comprise the intention to treat and per protocol population, and the numbers followed- up to be in the analyses of the primary outcome as well as the main reasons for missing data by stages of the trial.</w:t>
      </w:r>
    </w:p>
    <w:p w:rsidR="00B0268C" w:rsidRDefault="00B0268C">
      <w:pPr>
        <w:pStyle w:val="BodyText"/>
        <w:rPr>
          <w:sz w:val="20"/>
        </w:rPr>
      </w:pPr>
    </w:p>
    <w:p w:rsidR="00B0268C" w:rsidRDefault="00B0268C">
      <w:pPr>
        <w:pStyle w:val="BodyText"/>
        <w:rPr>
          <w:sz w:val="20"/>
        </w:rPr>
      </w:pPr>
    </w:p>
    <w:p w:rsidR="00B0268C" w:rsidRDefault="00C408FB">
      <w:pPr>
        <w:pStyle w:val="BodyText"/>
        <w:spacing w:before="3"/>
        <w:rPr>
          <w:sz w:val="11"/>
        </w:rPr>
      </w:pPr>
      <w:r>
        <w:rPr>
          <w:noProof/>
          <w:lang w:bidi="ar-SA"/>
        </w:rPr>
        <w:drawing>
          <wp:anchor distT="0" distB="0" distL="0" distR="0" simplePos="0" relativeHeight="251658240" behindDoc="0" locked="0" layoutInCell="1" allowOverlap="1">
            <wp:simplePos x="0" y="0"/>
            <wp:positionH relativeFrom="page">
              <wp:posOffset>972833</wp:posOffset>
            </wp:positionH>
            <wp:positionV relativeFrom="paragraph">
              <wp:posOffset>107489</wp:posOffset>
            </wp:positionV>
            <wp:extent cx="5150604" cy="4557712"/>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2" cstate="print"/>
                    <a:stretch>
                      <a:fillRect/>
                    </a:stretch>
                  </pic:blipFill>
                  <pic:spPr>
                    <a:xfrm>
                      <a:off x="0" y="0"/>
                      <a:ext cx="5150604" cy="4557712"/>
                    </a:xfrm>
                    <a:prstGeom prst="rect">
                      <a:avLst/>
                    </a:prstGeom>
                  </pic:spPr>
                </pic:pic>
              </a:graphicData>
            </a:graphic>
          </wp:anchor>
        </w:drawing>
      </w:r>
    </w:p>
    <w:p w:rsidR="00B0268C" w:rsidRDefault="00B0268C">
      <w:pPr>
        <w:pStyle w:val="BodyText"/>
        <w:rPr>
          <w:sz w:val="26"/>
        </w:rPr>
      </w:pPr>
    </w:p>
    <w:p w:rsidR="00B0268C" w:rsidRDefault="00B0268C">
      <w:pPr>
        <w:pStyle w:val="BodyText"/>
        <w:spacing w:before="7"/>
        <w:rPr>
          <w:sz w:val="27"/>
        </w:rPr>
      </w:pPr>
    </w:p>
    <w:p w:rsidR="00B0268C" w:rsidRDefault="00C408FB">
      <w:pPr>
        <w:pStyle w:val="Heading2"/>
        <w:numPr>
          <w:ilvl w:val="1"/>
          <w:numId w:val="8"/>
        </w:numPr>
        <w:tabs>
          <w:tab w:val="left" w:pos="749"/>
        </w:tabs>
        <w:ind w:left="748" w:hanging="535"/>
      </w:pPr>
      <w:bookmarkStart w:id="57" w:name="_bookmark57"/>
      <w:bookmarkEnd w:id="57"/>
      <w:r>
        <w:t>Baseline comparability of randomised</w:t>
      </w:r>
      <w:r>
        <w:rPr>
          <w:spacing w:val="-10"/>
        </w:rPr>
        <w:t xml:space="preserve"> </w:t>
      </w:r>
      <w:r>
        <w:t>groups</w:t>
      </w:r>
    </w:p>
    <w:p w:rsidR="00B0268C" w:rsidRDefault="00B0268C">
      <w:pPr>
        <w:pStyle w:val="BodyText"/>
        <w:spacing w:before="8"/>
        <w:rPr>
          <w:rFonts w:ascii="Arial"/>
          <w:b/>
          <w:sz w:val="22"/>
        </w:rPr>
      </w:pPr>
    </w:p>
    <w:p w:rsidR="00B0268C" w:rsidRDefault="00C408FB">
      <w:pPr>
        <w:pStyle w:val="BodyText"/>
        <w:ind w:left="214" w:right="268"/>
        <w:jc w:val="both"/>
      </w:pPr>
      <w:r>
        <w:t>Baseline descriptions of participants by treatment and overall will be summarised (into Table 1 of the report). No significance testing will be carried out as any differences found may be chance-generated and not for hypothesised reasons.</w:t>
      </w:r>
    </w:p>
    <w:p w:rsidR="00B0268C" w:rsidRDefault="00B0268C">
      <w:pPr>
        <w:pStyle w:val="BodyText"/>
      </w:pPr>
    </w:p>
    <w:p w:rsidR="00B0268C" w:rsidRDefault="00C408FB">
      <w:pPr>
        <w:pStyle w:val="BodyText"/>
        <w:ind w:left="214" w:right="269"/>
        <w:jc w:val="both"/>
      </w:pPr>
      <w:r>
        <w:t>Continuous variables such as OCT central subfield thickness and VFQ-25 will be summarised using means and standard deviations (SD) and/or medians and interquartile range (IQR) for variables presenting a skewed distribution. Categorical variables such as proportion of patients gaining ≥15 BCVA or participants with OCT CST &lt; 320μm will be described using numbers and percentages.</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Heading2"/>
        <w:numPr>
          <w:ilvl w:val="1"/>
          <w:numId w:val="8"/>
        </w:numPr>
        <w:tabs>
          <w:tab w:val="left" w:pos="749"/>
        </w:tabs>
        <w:spacing w:before="85"/>
        <w:ind w:left="748" w:hanging="535"/>
      </w:pPr>
      <w:bookmarkStart w:id="58" w:name="_bookmark58"/>
      <w:bookmarkEnd w:id="58"/>
      <w:r>
        <w:lastRenderedPageBreak/>
        <w:t>Comparison of rates of adherence and</w:t>
      </w:r>
      <w:r>
        <w:rPr>
          <w:spacing w:val="-1"/>
        </w:rPr>
        <w:t xml:space="preserve"> </w:t>
      </w:r>
      <w:r>
        <w:t>follow-up</w:t>
      </w:r>
    </w:p>
    <w:p w:rsidR="00B0268C" w:rsidRDefault="00B0268C">
      <w:pPr>
        <w:pStyle w:val="BodyText"/>
        <w:spacing w:before="9"/>
        <w:rPr>
          <w:rFonts w:ascii="Arial"/>
          <w:b/>
          <w:sz w:val="22"/>
        </w:rPr>
      </w:pPr>
    </w:p>
    <w:p w:rsidR="00B0268C" w:rsidRDefault="00C408FB">
      <w:pPr>
        <w:pStyle w:val="BodyText"/>
        <w:spacing w:before="1"/>
        <w:ind w:left="214" w:right="273"/>
        <w:jc w:val="both"/>
      </w:pPr>
      <w:r>
        <w:t>High compliance and low attrition rates are anticipated for this study according to previous clinical trial experience (91.6% of subjects completed the active treatment arms in the 12 month CRUISE (CRVO) study and withdrawals were mainly due to physician and patients decisions (see Protocol). A cumulative drop-out of approximately 15% by year 2 was predicted and reflected in the sample size calculations. Nevertheless, compliance rates and attrition rates will be compared and reported by arm using Fisher’s exact test.</w:t>
      </w:r>
    </w:p>
    <w:p w:rsidR="00B0268C" w:rsidRDefault="00B0268C">
      <w:pPr>
        <w:pStyle w:val="BodyText"/>
        <w:rPr>
          <w:sz w:val="26"/>
        </w:rPr>
      </w:pPr>
    </w:p>
    <w:p w:rsidR="00B0268C" w:rsidRDefault="00C408FB">
      <w:pPr>
        <w:pStyle w:val="Heading1"/>
        <w:numPr>
          <w:ilvl w:val="1"/>
          <w:numId w:val="7"/>
        </w:numPr>
        <w:tabs>
          <w:tab w:val="left" w:pos="843"/>
        </w:tabs>
        <w:spacing w:before="221"/>
      </w:pPr>
      <w:bookmarkStart w:id="59" w:name="_bookmark59"/>
      <w:bookmarkEnd w:id="59"/>
      <w:r>
        <w:t>Analysis covariates</w:t>
      </w:r>
    </w:p>
    <w:p w:rsidR="00B0268C" w:rsidRDefault="00B0268C">
      <w:pPr>
        <w:pStyle w:val="BodyText"/>
        <w:spacing w:before="11"/>
        <w:rPr>
          <w:rFonts w:ascii="Arial"/>
          <w:b/>
          <w:sz w:val="23"/>
        </w:rPr>
      </w:pPr>
    </w:p>
    <w:p w:rsidR="00B0268C" w:rsidRDefault="00C408FB">
      <w:pPr>
        <w:pStyle w:val="Heading2"/>
        <w:numPr>
          <w:ilvl w:val="1"/>
          <w:numId w:val="7"/>
        </w:numPr>
        <w:tabs>
          <w:tab w:val="left" w:pos="749"/>
        </w:tabs>
        <w:ind w:left="748" w:hanging="535"/>
      </w:pPr>
      <w:bookmarkStart w:id="60" w:name="_bookmark60"/>
      <w:bookmarkEnd w:id="60"/>
      <w:proofErr w:type="spellStart"/>
      <w:r>
        <w:t>Stratifiers</w:t>
      </w:r>
      <w:proofErr w:type="spellEnd"/>
    </w:p>
    <w:p w:rsidR="00B0268C" w:rsidRDefault="00B0268C">
      <w:pPr>
        <w:pStyle w:val="BodyText"/>
        <w:spacing w:before="7"/>
        <w:rPr>
          <w:rFonts w:ascii="Arial"/>
          <w:b/>
          <w:sz w:val="23"/>
        </w:rPr>
      </w:pPr>
    </w:p>
    <w:p w:rsidR="00B0268C" w:rsidRDefault="00C408FB">
      <w:pPr>
        <w:pStyle w:val="BodyText"/>
        <w:spacing w:before="1"/>
        <w:ind w:left="214" w:right="270"/>
        <w:jc w:val="both"/>
      </w:pPr>
      <w:r>
        <w:t>It is important to consider which, if any, covariates are to be adjusted for in the analyses. The ICH E9 guideline (</w:t>
      </w:r>
      <w:hyperlink w:anchor="_bookmark82" w:history="1">
        <w:r>
          <w:t>1</w:t>
        </w:r>
      </w:hyperlink>
      <w:r>
        <w:t xml:space="preserve">) recommends that consideration be given to accounting for randomisation </w:t>
      </w:r>
      <w:proofErr w:type="spellStart"/>
      <w:r>
        <w:t>stratifiers</w:t>
      </w:r>
      <w:proofErr w:type="spellEnd"/>
      <w:r>
        <w:t xml:space="preserve"> by adjusting for them as covariates in linear model. This tends to improve the precision of estimated treatment effects. Therefore, for continuous outcomes, the analysis will include adjustment for the randomisation </w:t>
      </w:r>
      <w:proofErr w:type="spellStart"/>
      <w:r>
        <w:t>stratifiers</w:t>
      </w:r>
      <w:proofErr w:type="spellEnd"/>
      <w:r>
        <w:t xml:space="preserve"> of screening BCVA letter score (3 levels) and disease duration (2</w:t>
      </w:r>
      <w:r>
        <w:rPr>
          <w:spacing w:val="2"/>
        </w:rPr>
        <w:t xml:space="preserve"> </w:t>
      </w:r>
      <w:r>
        <w:t>levels).</w:t>
      </w:r>
    </w:p>
    <w:p w:rsidR="00B0268C" w:rsidRDefault="00B0268C">
      <w:pPr>
        <w:pStyle w:val="BodyText"/>
        <w:spacing w:before="3"/>
        <w:rPr>
          <w:sz w:val="23"/>
        </w:rPr>
      </w:pPr>
    </w:p>
    <w:p w:rsidR="00B0268C" w:rsidRDefault="00C408FB">
      <w:pPr>
        <w:pStyle w:val="Heading2"/>
        <w:numPr>
          <w:ilvl w:val="1"/>
          <w:numId w:val="7"/>
        </w:numPr>
        <w:tabs>
          <w:tab w:val="left" w:pos="749"/>
        </w:tabs>
        <w:spacing w:before="1"/>
        <w:ind w:left="748" w:hanging="535"/>
      </w:pPr>
      <w:bookmarkStart w:id="61" w:name="_bookmark61"/>
      <w:bookmarkEnd w:id="61"/>
      <w:r>
        <w:t>Baseline</w:t>
      </w:r>
    </w:p>
    <w:p w:rsidR="00B0268C" w:rsidRDefault="00B0268C">
      <w:pPr>
        <w:pStyle w:val="BodyText"/>
        <w:spacing w:before="7"/>
        <w:rPr>
          <w:rFonts w:ascii="Arial"/>
          <w:b/>
          <w:sz w:val="22"/>
        </w:rPr>
      </w:pPr>
    </w:p>
    <w:p w:rsidR="00B0268C" w:rsidRDefault="00C408FB">
      <w:pPr>
        <w:pStyle w:val="BodyText"/>
        <w:ind w:left="214" w:right="271"/>
        <w:jc w:val="both"/>
      </w:pPr>
      <w:r>
        <w:t xml:space="preserve">The corresponding baseline measure for a continuous outcome is also often predictive of the outcome at follow-up. Therefore “baseline”, if collected, will be an additional covariate when modelling continuous outcomes. This will be the case for visual acuity and macular volume. The continuous baseline will have precedence for inclusion in the model over the corresponding categorical randomisation </w:t>
      </w:r>
      <w:proofErr w:type="spellStart"/>
      <w:r>
        <w:t>stratifier</w:t>
      </w:r>
      <w:proofErr w:type="spellEnd"/>
      <w:r>
        <w:t>, where</w:t>
      </w:r>
      <w:r>
        <w:rPr>
          <w:spacing w:val="-2"/>
        </w:rPr>
        <w:t xml:space="preserve"> </w:t>
      </w:r>
      <w:r>
        <w:t>applicable.</w:t>
      </w:r>
    </w:p>
    <w:p w:rsidR="00B0268C" w:rsidRDefault="00B0268C">
      <w:pPr>
        <w:pStyle w:val="BodyText"/>
        <w:rPr>
          <w:sz w:val="26"/>
        </w:rPr>
      </w:pPr>
    </w:p>
    <w:p w:rsidR="00B0268C" w:rsidRDefault="00C408FB">
      <w:pPr>
        <w:pStyle w:val="Heading1"/>
        <w:numPr>
          <w:ilvl w:val="1"/>
          <w:numId w:val="6"/>
        </w:numPr>
        <w:tabs>
          <w:tab w:val="left" w:pos="838"/>
        </w:tabs>
        <w:spacing w:before="210"/>
      </w:pPr>
      <w:bookmarkStart w:id="62" w:name="_bookmark62"/>
      <w:bookmarkEnd w:id="62"/>
      <w:r>
        <w:t>Primary outcome</w:t>
      </w:r>
      <w:r>
        <w:rPr>
          <w:spacing w:val="-8"/>
        </w:rPr>
        <w:t xml:space="preserve"> </w:t>
      </w:r>
      <w:r>
        <w:t>analysis</w:t>
      </w:r>
    </w:p>
    <w:p w:rsidR="00B0268C" w:rsidRDefault="00B0268C">
      <w:pPr>
        <w:pStyle w:val="BodyText"/>
        <w:spacing w:before="10"/>
        <w:rPr>
          <w:rFonts w:ascii="Arial"/>
          <w:b/>
          <w:sz w:val="23"/>
        </w:rPr>
      </w:pPr>
    </w:p>
    <w:p w:rsidR="00B0268C" w:rsidRDefault="00C408FB">
      <w:pPr>
        <w:pStyle w:val="Heading2"/>
        <w:numPr>
          <w:ilvl w:val="1"/>
          <w:numId w:val="6"/>
        </w:numPr>
        <w:tabs>
          <w:tab w:val="left" w:pos="750"/>
        </w:tabs>
        <w:ind w:left="749" w:hanging="536"/>
      </w:pPr>
      <w:bookmarkStart w:id="63" w:name="_bookmark63"/>
      <w:bookmarkEnd w:id="63"/>
      <w:r>
        <w:t>Statistical</w:t>
      </w:r>
      <w:r>
        <w:rPr>
          <w:spacing w:val="-1"/>
        </w:rPr>
        <w:t xml:space="preserve"> </w:t>
      </w:r>
      <w:r>
        <w:t>Model</w:t>
      </w:r>
    </w:p>
    <w:p w:rsidR="00B0268C" w:rsidRDefault="00B0268C">
      <w:pPr>
        <w:pStyle w:val="BodyText"/>
        <w:spacing w:before="8"/>
        <w:rPr>
          <w:rFonts w:ascii="Arial"/>
          <w:b/>
          <w:sz w:val="23"/>
        </w:rPr>
      </w:pPr>
    </w:p>
    <w:p w:rsidR="00B0268C" w:rsidRDefault="00C408FB">
      <w:pPr>
        <w:pStyle w:val="BodyText"/>
        <w:ind w:left="214" w:right="273"/>
        <w:jc w:val="both"/>
      </w:pPr>
      <w:r>
        <w:t xml:space="preserve">The following description of the statistical analysis applies to each of the two investigational treatments, bevacizumab and </w:t>
      </w:r>
      <w:proofErr w:type="spellStart"/>
      <w:r>
        <w:t>afilbercept</w:t>
      </w:r>
      <w:proofErr w:type="spellEnd"/>
      <w:r>
        <w:t xml:space="preserve"> and the standard treatment, </w:t>
      </w:r>
      <w:proofErr w:type="spellStart"/>
      <w:r>
        <w:t>ranibizumab</w:t>
      </w:r>
      <w:proofErr w:type="spellEnd"/>
      <w:r>
        <w:t>.</w:t>
      </w:r>
    </w:p>
    <w:p w:rsidR="00B0268C" w:rsidRDefault="00C408FB">
      <w:pPr>
        <w:pStyle w:val="BodyText"/>
        <w:ind w:left="214" w:right="269"/>
        <w:jc w:val="both"/>
      </w:pPr>
      <w:r>
        <w:t>The primary efficacy measure is the change from baseline in refracted best corrected visual acuity (BCVA) in the study eye, using the ETDRS letter score at 100 weeks. As the analysis approach for continuous outcomes below makes advantage of covariate-adjustment for the baseline of the outcome, the primary endpoint can equivalently be regarded to be each participant’s 100-week measurement. This is convenient because then those with a 100-week outcome, but whose baseline measurement is missing, are not regarded to be missing the endpoint. The primary outcome may therefore be referred to below as the 100-week visual acuity, rather than the change in this from baseline to 100 weeks.</w:t>
      </w:r>
    </w:p>
    <w:p w:rsidR="00B0268C" w:rsidRDefault="00B0268C">
      <w:pPr>
        <w:pStyle w:val="BodyText"/>
        <w:spacing w:before="1"/>
      </w:pPr>
    </w:p>
    <w:p w:rsidR="00B0268C" w:rsidRDefault="00C408FB">
      <w:pPr>
        <w:pStyle w:val="BodyText"/>
        <w:ind w:left="214" w:right="272"/>
        <w:jc w:val="both"/>
      </w:pPr>
      <w:r>
        <w:t xml:space="preserve">The primary outcome will be analysed using a linear mixed effects (LME) model incorporating the 5 post-baseline measurements of the refracted BCVA </w:t>
      </w:r>
      <w:proofErr w:type="gramStart"/>
      <w:r>
        <w:t>outcome ”</w:t>
      </w:r>
      <w:proofErr w:type="gramEnd"/>
      <w:r>
        <w:t xml:space="preserve"> (12, 24, 52, 76 and 100 weeks). This mixed model will have, by definition a mix of random and fixed effect terms. The random effect in the model will be </w:t>
      </w:r>
      <w:r>
        <w:rPr>
          <w:i/>
        </w:rPr>
        <w:t>participant</w:t>
      </w:r>
      <w:r>
        <w:t xml:space="preserve">, represented as a random intercept at each follow-up </w:t>
      </w:r>
      <w:proofErr w:type="spellStart"/>
      <w:r>
        <w:t>timepoint</w:t>
      </w:r>
      <w:proofErr w:type="spellEnd"/>
      <w:r>
        <w:t>, with allowance for within-participant correlation in the</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BodyText"/>
        <w:spacing w:before="81"/>
        <w:ind w:left="214" w:right="267"/>
        <w:jc w:val="both"/>
      </w:pPr>
      <w:bookmarkStart w:id="64" w:name="_bookmark69"/>
      <w:bookmarkEnd w:id="64"/>
      <w:proofErr w:type="gramStart"/>
      <w:r>
        <w:lastRenderedPageBreak/>
        <w:t>adjusted</w:t>
      </w:r>
      <w:proofErr w:type="gramEnd"/>
      <w:r>
        <w:t xml:space="preserve"> post-baseline outcomes. The fixed effects in the model will be the main effect terms for arm, the two </w:t>
      </w:r>
      <w:proofErr w:type="spellStart"/>
      <w:r>
        <w:t>stratifiers</w:t>
      </w:r>
      <w:proofErr w:type="spellEnd"/>
      <w:r>
        <w:t xml:space="preserve">: visual </w:t>
      </w:r>
      <w:proofErr w:type="spellStart"/>
      <w:r>
        <w:t>acuityand</w:t>
      </w:r>
      <w:proofErr w:type="spellEnd"/>
      <w:r>
        <w:t xml:space="preserve"> disease duration, “time”, the baseline of the outcome and its missing indicator required for the missing indicator method (</w:t>
      </w:r>
      <w:hyperlink w:anchor="_bookmark100" w:history="1">
        <w:r>
          <w:t>21</w:t>
        </w:r>
      </w:hyperlink>
      <w:r>
        <w:t>). The other fixed effects to be included in the model will be the interactions between “</w:t>
      </w:r>
      <w:r>
        <w:rPr>
          <w:i/>
        </w:rPr>
        <w:t>time</w:t>
      </w:r>
      <w:r>
        <w:t xml:space="preserve">” and each of the other fixed effects in the model. This model allows the treatment effect to be formally tested at 52 weeks, at the primary </w:t>
      </w:r>
      <w:proofErr w:type="spellStart"/>
      <w:r>
        <w:t>timepoint</w:t>
      </w:r>
      <w:proofErr w:type="spellEnd"/>
      <w:r>
        <w:t xml:space="preserve"> of 100 weeks, and estimated at 24 and 76 weeks.</w:t>
      </w:r>
    </w:p>
    <w:p w:rsidR="00B0268C" w:rsidRDefault="00B0268C">
      <w:pPr>
        <w:pStyle w:val="BodyText"/>
        <w:spacing w:before="4"/>
      </w:pPr>
    </w:p>
    <w:p w:rsidR="00B0268C" w:rsidRDefault="00C408FB">
      <w:pPr>
        <w:pStyle w:val="Heading2"/>
        <w:numPr>
          <w:ilvl w:val="1"/>
          <w:numId w:val="6"/>
        </w:numPr>
        <w:tabs>
          <w:tab w:val="left" w:pos="749"/>
        </w:tabs>
        <w:ind w:left="748" w:hanging="535"/>
      </w:pPr>
      <w:bookmarkStart w:id="65" w:name="_bookmark64"/>
      <w:bookmarkEnd w:id="65"/>
      <w:r>
        <w:t>Intention to Treat</w:t>
      </w:r>
      <w:r>
        <w:rPr>
          <w:spacing w:val="-1"/>
        </w:rPr>
        <w:t xml:space="preserve"> </w:t>
      </w:r>
      <w:r>
        <w:t>Strategy</w:t>
      </w:r>
    </w:p>
    <w:p w:rsidR="00B0268C" w:rsidRDefault="00B0268C">
      <w:pPr>
        <w:pStyle w:val="BodyText"/>
        <w:spacing w:before="10"/>
        <w:rPr>
          <w:rFonts w:ascii="Arial"/>
          <w:b/>
          <w:sz w:val="28"/>
        </w:rPr>
      </w:pPr>
    </w:p>
    <w:p w:rsidR="00B0268C" w:rsidRDefault="00C408FB">
      <w:pPr>
        <w:pStyle w:val="BodyText"/>
        <w:ind w:left="214" w:right="275"/>
        <w:jc w:val="both"/>
      </w:pPr>
      <w:r>
        <w:t>Outcome data will be valid and included if the BCVA measure is refracted. All randomised subjects who provide at least one post-baseline valid measurement will be included.</w:t>
      </w:r>
    </w:p>
    <w:p w:rsidR="00B0268C" w:rsidRDefault="00B0268C">
      <w:pPr>
        <w:pStyle w:val="BodyText"/>
        <w:spacing w:before="4"/>
      </w:pPr>
    </w:p>
    <w:p w:rsidR="00B0268C" w:rsidRDefault="00C408FB">
      <w:pPr>
        <w:pStyle w:val="Heading2"/>
        <w:numPr>
          <w:ilvl w:val="1"/>
          <w:numId w:val="6"/>
        </w:numPr>
        <w:tabs>
          <w:tab w:val="left" w:pos="749"/>
        </w:tabs>
        <w:ind w:left="748" w:hanging="535"/>
      </w:pPr>
      <w:bookmarkStart w:id="66" w:name="_bookmark65"/>
      <w:bookmarkEnd w:id="66"/>
      <w:r>
        <w:t>Per Protocol</w:t>
      </w:r>
      <w:r>
        <w:rPr>
          <w:spacing w:val="-6"/>
        </w:rPr>
        <w:t xml:space="preserve"> </w:t>
      </w:r>
      <w:r>
        <w:t>analysis</w:t>
      </w:r>
    </w:p>
    <w:p w:rsidR="00B0268C" w:rsidRDefault="00B0268C">
      <w:pPr>
        <w:pStyle w:val="BodyText"/>
        <w:spacing w:before="10"/>
        <w:rPr>
          <w:rFonts w:ascii="Arial"/>
          <w:b/>
          <w:sz w:val="28"/>
        </w:rPr>
      </w:pPr>
    </w:p>
    <w:p w:rsidR="00B0268C" w:rsidRDefault="00C408FB">
      <w:pPr>
        <w:pStyle w:val="BodyText"/>
        <w:spacing w:before="1"/>
        <w:ind w:left="214" w:right="270"/>
        <w:jc w:val="both"/>
      </w:pPr>
      <w:r>
        <w:t>For the analysis of the primary outcome, the mixed effects model will be re-fitted in a reduced per protocol (PP) population already described in section 3.3.2</w:t>
      </w:r>
      <w:proofErr w:type="gramStart"/>
      <w:r>
        <w:t>..</w:t>
      </w:r>
      <w:proofErr w:type="gramEnd"/>
      <w:r>
        <w:t xml:space="preserve"> Only valid (refracted) measurements will be included, and so the per protocol analysis will be a subset of the outcome measurements in the 52 and 100-week ITT analysis LME</w:t>
      </w:r>
      <w:r>
        <w:rPr>
          <w:spacing w:val="-8"/>
        </w:rPr>
        <w:t xml:space="preserve"> </w:t>
      </w:r>
      <w:r>
        <w:t>model.</w:t>
      </w:r>
    </w:p>
    <w:p w:rsidR="00B0268C" w:rsidRDefault="00B0268C">
      <w:pPr>
        <w:pStyle w:val="BodyText"/>
        <w:spacing w:before="4"/>
      </w:pPr>
    </w:p>
    <w:p w:rsidR="00B0268C" w:rsidRDefault="00C408FB">
      <w:pPr>
        <w:pStyle w:val="Heading2"/>
        <w:numPr>
          <w:ilvl w:val="1"/>
          <w:numId w:val="6"/>
        </w:numPr>
        <w:tabs>
          <w:tab w:val="left" w:pos="749"/>
        </w:tabs>
        <w:ind w:left="748" w:hanging="535"/>
      </w:pPr>
      <w:bookmarkStart w:id="67" w:name="_bookmark66"/>
      <w:bookmarkEnd w:id="67"/>
      <w:r>
        <w:t>Concluding non-inferiority</w:t>
      </w:r>
    </w:p>
    <w:p w:rsidR="00B0268C" w:rsidRDefault="00B0268C">
      <w:pPr>
        <w:pStyle w:val="BodyText"/>
        <w:spacing w:before="10"/>
        <w:rPr>
          <w:rFonts w:ascii="Arial"/>
          <w:b/>
          <w:sz w:val="28"/>
        </w:rPr>
      </w:pPr>
    </w:p>
    <w:p w:rsidR="00B0268C" w:rsidRDefault="00C408FB">
      <w:pPr>
        <w:pStyle w:val="BodyText"/>
        <w:ind w:left="214" w:right="262"/>
        <w:jc w:val="both"/>
      </w:pPr>
      <w:r>
        <w:t xml:space="preserve">Non-inferiority will only be concluded if this is declared by both the ITT analysis and the PP analysis at 100 weeks. Non-inferiority will also be assessed secondarily in ITT and PP populations at 52 weeks from the same models. Non-inferiority will be declared if the estimated 95% confidence interval for the difference in means lies wholly above the margin of -5 letters in both ITT and PP analysis models primarily at 100 weeks and secondarily </w:t>
      </w:r>
      <w:proofErr w:type="gramStart"/>
      <w:r>
        <w:t>at  52</w:t>
      </w:r>
      <w:proofErr w:type="gramEnd"/>
      <w:r>
        <w:rPr>
          <w:spacing w:val="-1"/>
        </w:rPr>
        <w:t xml:space="preserve"> </w:t>
      </w:r>
      <w:r>
        <w:t>weeks.</w:t>
      </w:r>
    </w:p>
    <w:p w:rsidR="00B0268C" w:rsidRDefault="00B0268C">
      <w:pPr>
        <w:pStyle w:val="BodyText"/>
        <w:spacing w:before="4"/>
      </w:pPr>
    </w:p>
    <w:p w:rsidR="00B0268C" w:rsidRDefault="00C408FB">
      <w:pPr>
        <w:pStyle w:val="Heading2"/>
        <w:numPr>
          <w:ilvl w:val="1"/>
          <w:numId w:val="6"/>
        </w:numPr>
        <w:tabs>
          <w:tab w:val="left" w:pos="749"/>
        </w:tabs>
        <w:ind w:left="748" w:hanging="535"/>
      </w:pPr>
      <w:bookmarkStart w:id="68" w:name="_bookmark67"/>
      <w:bookmarkEnd w:id="68"/>
      <w:r>
        <w:t>Superiority</w:t>
      </w:r>
    </w:p>
    <w:p w:rsidR="00B0268C" w:rsidRDefault="00B0268C">
      <w:pPr>
        <w:pStyle w:val="BodyText"/>
        <w:spacing w:before="11"/>
        <w:rPr>
          <w:rFonts w:ascii="Arial"/>
          <w:b/>
          <w:sz w:val="28"/>
        </w:rPr>
      </w:pPr>
    </w:p>
    <w:p w:rsidR="00B0268C" w:rsidRDefault="00C408FB">
      <w:pPr>
        <w:pStyle w:val="BodyText"/>
        <w:ind w:left="214" w:right="260"/>
        <w:jc w:val="both"/>
      </w:pPr>
      <w:r>
        <w:t xml:space="preserve">If non-inferiority is concluded, superiority will be assessed from the ITT LME model by reporting the </w:t>
      </w:r>
      <w:r>
        <w:rPr>
          <w:i/>
        </w:rPr>
        <w:t>p</w:t>
      </w:r>
      <w:r>
        <w:t>-value from the two-sided test of the hypothesis of a zero difference in population means using a 5% significance level without need for correction for multiple testing.</w:t>
      </w:r>
    </w:p>
    <w:p w:rsidR="00B0268C" w:rsidRDefault="00B0268C">
      <w:pPr>
        <w:pStyle w:val="BodyText"/>
      </w:pPr>
    </w:p>
    <w:p w:rsidR="00B0268C" w:rsidRDefault="00C408FB">
      <w:pPr>
        <w:pStyle w:val="BodyText"/>
        <w:ind w:left="214" w:right="268"/>
        <w:jc w:val="both"/>
      </w:pPr>
      <w:r>
        <w:t>In addition, if both investigative treatments were considered non-inferior to the standard treatment at 100 weeks then superiority of the investigative treatments will be assessed to each other.</w:t>
      </w:r>
    </w:p>
    <w:p w:rsidR="00B0268C" w:rsidRDefault="00B0268C">
      <w:pPr>
        <w:pStyle w:val="BodyText"/>
        <w:spacing w:before="4"/>
      </w:pPr>
    </w:p>
    <w:p w:rsidR="00B0268C" w:rsidRDefault="00C408FB">
      <w:pPr>
        <w:pStyle w:val="Heading2"/>
        <w:numPr>
          <w:ilvl w:val="1"/>
          <w:numId w:val="6"/>
        </w:numPr>
        <w:tabs>
          <w:tab w:val="left" w:pos="749"/>
        </w:tabs>
        <w:ind w:left="748" w:hanging="535"/>
      </w:pPr>
      <w:bookmarkStart w:id="69" w:name="_bookmark68"/>
      <w:bookmarkEnd w:id="69"/>
      <w:r>
        <w:t>Subgroup</w:t>
      </w:r>
      <w:r>
        <w:rPr>
          <w:spacing w:val="-1"/>
        </w:rPr>
        <w:t xml:space="preserve"> </w:t>
      </w:r>
      <w:r>
        <w:t>analysis</w:t>
      </w:r>
    </w:p>
    <w:p w:rsidR="00B0268C" w:rsidRDefault="00B0268C">
      <w:pPr>
        <w:pStyle w:val="BodyText"/>
        <w:spacing w:before="10"/>
        <w:rPr>
          <w:rFonts w:ascii="Arial"/>
          <w:b/>
          <w:sz w:val="28"/>
        </w:rPr>
      </w:pPr>
    </w:p>
    <w:p w:rsidR="00B0268C" w:rsidRDefault="00C408FB">
      <w:pPr>
        <w:pStyle w:val="BodyText"/>
        <w:ind w:left="214" w:right="269"/>
        <w:jc w:val="both"/>
      </w:pPr>
      <w:r>
        <w:t xml:space="preserve">The </w:t>
      </w:r>
      <w:proofErr w:type="spellStart"/>
      <w:r>
        <w:t>threesubgroup</w:t>
      </w:r>
      <w:proofErr w:type="spellEnd"/>
      <w:r>
        <w:t xml:space="preserve"> variables will be assessed by extending the primary outcome model to have an interaction between arm and each categorical subgroup variable. Subgroup variables with more than two categories that are ordinal will be entered as linear in the interaction. The treatment effects will also be presented within each subgroup category with a 95% confidence interval.</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Heading2"/>
        <w:numPr>
          <w:ilvl w:val="1"/>
          <w:numId w:val="6"/>
        </w:numPr>
        <w:tabs>
          <w:tab w:val="left" w:pos="750"/>
        </w:tabs>
        <w:spacing w:before="85"/>
        <w:ind w:left="749" w:hanging="536"/>
      </w:pPr>
      <w:r>
        <w:lastRenderedPageBreak/>
        <w:t>Sensitivity to missing</w:t>
      </w:r>
      <w:r>
        <w:rPr>
          <w:spacing w:val="-6"/>
        </w:rPr>
        <w:t xml:space="preserve"> </w:t>
      </w:r>
      <w:r>
        <w:t>data</w:t>
      </w:r>
    </w:p>
    <w:p w:rsidR="00B0268C" w:rsidRDefault="00B0268C">
      <w:pPr>
        <w:pStyle w:val="BodyText"/>
        <w:spacing w:before="10"/>
        <w:rPr>
          <w:rFonts w:ascii="Arial"/>
          <w:b/>
          <w:sz w:val="28"/>
        </w:rPr>
      </w:pPr>
    </w:p>
    <w:p w:rsidR="00B0268C" w:rsidRDefault="00C408FB">
      <w:pPr>
        <w:pStyle w:val="BodyText"/>
        <w:ind w:left="214" w:right="271"/>
        <w:jc w:val="both"/>
      </w:pPr>
      <w:r>
        <w:t>An expert missing-data group concluded that rather than statisticians reacting to missing data at the end of a trial, there should be comprehensive, proactive planning for handling missing data at the stage of designing trials (</w:t>
      </w:r>
      <w:hyperlink w:anchor="_bookmark101" w:history="1">
        <w:r>
          <w:t>22</w:t>
        </w:r>
      </w:hyperlink>
      <w:r>
        <w:t>). The group recommended there should be consideration of missing data mechanisms (</w:t>
      </w:r>
      <w:proofErr w:type="spellStart"/>
      <w:r>
        <w:t>e.g</w:t>
      </w:r>
      <w:proofErr w:type="spellEnd"/>
      <w:r>
        <w:t xml:space="preserve"> Missing At Random), and, if the missing data may be informative that appropriate sensitivity analyses should be undertaken to investigate the robustness of the inferences to the different assumptions made by the main analysis. It has also been recommended that analyses allowing for non-response and low intervention uptake (or compliance) are best specified in advance and included in the analysis plan (</w:t>
      </w:r>
      <w:hyperlink w:anchor="_bookmark102" w:history="1">
        <w:r>
          <w:t>23</w:t>
        </w:r>
      </w:hyperlink>
      <w:r>
        <w:t>). As it is expected that compliance will be high from the fear of loss of sight, and as non- inferiority is concluded only when declared in both a compliant PP population and a less compliant ITT population, the focus is on handling of missing</w:t>
      </w:r>
      <w:r>
        <w:rPr>
          <w:spacing w:val="-6"/>
        </w:rPr>
        <w:t xml:space="preserve"> </w:t>
      </w:r>
      <w:r>
        <w:t>data.</w:t>
      </w:r>
    </w:p>
    <w:p w:rsidR="00B0268C" w:rsidRDefault="00B0268C">
      <w:pPr>
        <w:pStyle w:val="BodyText"/>
      </w:pPr>
    </w:p>
    <w:p w:rsidR="00B0268C" w:rsidRDefault="00C408FB">
      <w:pPr>
        <w:pStyle w:val="BodyText"/>
        <w:spacing w:before="1"/>
        <w:ind w:left="214" w:right="277"/>
        <w:jc w:val="both"/>
      </w:pPr>
      <w:r>
        <w:t>A sensitivity analysis will be undertaken to assess the possibility of alternative plausible values of treatment effect arising from potential mishandling of missing data in the primary analysis model.</w:t>
      </w:r>
    </w:p>
    <w:p w:rsidR="00B0268C" w:rsidRDefault="00B0268C">
      <w:pPr>
        <w:pStyle w:val="BodyText"/>
      </w:pPr>
    </w:p>
    <w:p w:rsidR="00B0268C" w:rsidRDefault="00C408FB">
      <w:pPr>
        <w:pStyle w:val="BodyText"/>
        <w:ind w:left="214" w:right="269"/>
        <w:jc w:val="both"/>
      </w:pPr>
      <w:r>
        <w:t>The LME model for the primary outcome analysis described above is the first of a two-part approach called the Intention to Treat Strategy (</w:t>
      </w:r>
      <w:hyperlink w:anchor="_bookmark94" w:history="1">
        <w:r>
          <w:t>13</w:t>
        </w:r>
      </w:hyperlink>
      <w:r>
        <w:t xml:space="preserve">) in which a second analysis examines the sensitivity of the results to missing data in the full randomised, Intention to Treat, population. This meets the ideal of ITT. The approach to missing data taken for </w:t>
      </w:r>
      <w:proofErr w:type="spellStart"/>
      <w:r>
        <w:t>Leavo</w:t>
      </w:r>
      <w:proofErr w:type="spellEnd"/>
      <w:r>
        <w:t xml:space="preserve"> follows the recently published implementation paper of the ITT strategy (</w:t>
      </w:r>
      <w:hyperlink w:anchor="_bookmark103" w:history="1">
        <w:r>
          <w:t>24</w:t>
        </w:r>
      </w:hyperlink>
      <w:r>
        <w:t>). This is then also applied again to the PP population so that the non-inferiority conclusion can be re- assessed under the sensitivity</w:t>
      </w:r>
      <w:r>
        <w:rPr>
          <w:spacing w:val="-7"/>
        </w:rPr>
        <w:t xml:space="preserve"> </w:t>
      </w:r>
      <w:r>
        <w:t>analysis.</w:t>
      </w:r>
    </w:p>
    <w:p w:rsidR="00B0268C" w:rsidRDefault="00B0268C">
      <w:pPr>
        <w:pStyle w:val="BodyText"/>
      </w:pPr>
    </w:p>
    <w:p w:rsidR="00B0268C" w:rsidRDefault="00C408FB">
      <w:pPr>
        <w:pStyle w:val="BodyText"/>
        <w:ind w:left="214"/>
        <w:jc w:val="both"/>
      </w:pPr>
      <w:r>
        <w:t>For the sensitivity analysis, we pre-specify a range for best visual acuity from -20 letters to</w:t>
      </w:r>
    </w:p>
    <w:p w:rsidR="00B0268C" w:rsidRDefault="00C408FB">
      <w:pPr>
        <w:pStyle w:val="BodyText"/>
        <w:ind w:left="214" w:right="269"/>
        <w:jc w:val="both"/>
      </w:pPr>
      <w:r>
        <w:t xml:space="preserve">+20 letters over which the </w:t>
      </w:r>
      <w:r>
        <w:rPr>
          <w:u w:val="single"/>
        </w:rPr>
        <w:t>mean</w:t>
      </w:r>
      <w:r>
        <w:t xml:space="preserve"> of the “unobserved outcome data” might </w:t>
      </w:r>
      <w:r>
        <w:rPr>
          <w:i/>
        </w:rPr>
        <w:t xml:space="preserve">depart </w:t>
      </w:r>
      <w:r>
        <w:t xml:space="preserve">(or be different) from the </w:t>
      </w:r>
      <w:r>
        <w:rPr>
          <w:u w:val="single"/>
        </w:rPr>
        <w:t>mean</w:t>
      </w:r>
      <w:r>
        <w:t xml:space="preserve"> of the “observed outcome data” (</w:t>
      </w:r>
      <w:hyperlink w:anchor="_bookmark103" w:history="1">
        <w:r>
          <w:t>24</w:t>
        </w:r>
      </w:hyperlink>
      <w:r>
        <w:t xml:space="preserve">). In other words, this range can be thought of as how much a typical subject with missing data may </w:t>
      </w:r>
      <w:r>
        <w:rPr>
          <w:u w:val="single"/>
        </w:rPr>
        <w:t>on average</w:t>
      </w:r>
      <w:r>
        <w:t xml:space="preserve"> have had a different estimated treatment effect compared to the corresponding subject with the outcome data observed (given the same baseline covariates and follow-up data in the LME model). The range (-20 to +20) is chosen to represent both negative and positive </w:t>
      </w:r>
      <w:r>
        <w:rPr>
          <w:i/>
        </w:rPr>
        <w:t xml:space="preserve">departures </w:t>
      </w:r>
      <w:r>
        <w:t>that could potentially arise as the “net effect” of alternative reasons which may be unknown; such as dropout due to no anticipated further improvement, or dropout due to no improvement so far together with no anticipated achievable</w:t>
      </w:r>
      <w:r>
        <w:rPr>
          <w:spacing w:val="-1"/>
        </w:rPr>
        <w:t xml:space="preserve"> </w:t>
      </w:r>
      <w:r>
        <w:t>improvement.</w:t>
      </w:r>
    </w:p>
    <w:p w:rsidR="00B0268C" w:rsidRDefault="00B0268C">
      <w:pPr>
        <w:pStyle w:val="BodyText"/>
        <w:spacing w:before="1"/>
      </w:pPr>
    </w:p>
    <w:p w:rsidR="00B0268C" w:rsidRDefault="00C408FB">
      <w:pPr>
        <w:pStyle w:val="BodyText"/>
        <w:ind w:left="214" w:right="270"/>
        <w:jc w:val="both"/>
      </w:pPr>
      <w:r>
        <w:t xml:space="preserve">This range of 40 letters (from -20 to +20) is generously wide for exploring sensitivity of the main results to departures from the MAR assumption, because 20 letters (as the maximum </w:t>
      </w:r>
      <w:r>
        <w:rPr>
          <w:i/>
        </w:rPr>
        <w:t xml:space="preserve">departure </w:t>
      </w:r>
      <w:r>
        <w:t>in either direction) is larger than the detectable between-arm treatment effect of 3 lines (15 letters) seen in superiority trials (difference in means) which is a sizeable shift in the mean of the distribution for dropouts compared to</w:t>
      </w:r>
      <w:r>
        <w:rPr>
          <w:spacing w:val="-4"/>
        </w:rPr>
        <w:t xml:space="preserve"> </w:t>
      </w:r>
      <w:r>
        <w:t>completers.</w:t>
      </w:r>
    </w:p>
    <w:p w:rsidR="00B0268C" w:rsidRDefault="00B0268C">
      <w:pPr>
        <w:pStyle w:val="BodyText"/>
        <w:spacing w:before="1"/>
      </w:pPr>
    </w:p>
    <w:p w:rsidR="00B0268C" w:rsidRDefault="00C408FB">
      <w:pPr>
        <w:pStyle w:val="BodyText"/>
        <w:ind w:left="214" w:right="269"/>
        <w:jc w:val="both"/>
      </w:pPr>
      <w:r>
        <w:t>At the end of the trial, the fractions of individuals with missing data for visual acuity at 100 weeks will be available in each arm f</w:t>
      </w:r>
      <w:r>
        <w:rPr>
          <w:vertAlign w:val="subscript"/>
        </w:rPr>
        <w:t>i</w:t>
      </w:r>
      <w:r>
        <w:t xml:space="preserve"> (for intervention) and f</w:t>
      </w:r>
      <w:r>
        <w:rPr>
          <w:vertAlign w:val="subscript"/>
        </w:rPr>
        <w:t>c</w:t>
      </w:r>
      <w:r>
        <w:t xml:space="preserve"> (for control). The parameter representing excess visual acuity in those missing compared to those observed, </w:t>
      </w:r>
      <w:r>
        <w:rPr>
          <w:i/>
        </w:rPr>
        <w:t xml:space="preserve">δ, will take values by passing across the range </w:t>
      </w:r>
      <w:r>
        <w:t>-20 to +20. Three scenarios will be undertaken within the sensitivity analysis (</w:t>
      </w:r>
      <w:hyperlink w:anchor="_bookmark102" w:history="1">
        <w:r>
          <w:t>23,</w:t>
        </w:r>
      </w:hyperlink>
      <w:r>
        <w:t xml:space="preserve"> </w:t>
      </w:r>
      <w:hyperlink w:anchor="_bookmark103" w:history="1">
        <w:r>
          <w:t>24</w:t>
        </w:r>
      </w:hyperlink>
      <w:r>
        <w:t>). These reflect whether departures from the MAR assumption apply within the intervention arms only (</w:t>
      </w:r>
      <w:proofErr w:type="spellStart"/>
      <w:r>
        <w:t>aflibercept</w:t>
      </w:r>
      <w:proofErr w:type="spellEnd"/>
      <w:r>
        <w:t xml:space="preserve"> and bevacizumab), within the control arm only (</w:t>
      </w:r>
      <w:proofErr w:type="spellStart"/>
      <w:r>
        <w:t>ranibizumab</w:t>
      </w:r>
      <w:proofErr w:type="spellEnd"/>
      <w:r>
        <w:t>), or within both arms equally and in the same direction (thereby</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BodyText"/>
        <w:spacing w:before="81"/>
        <w:ind w:left="214" w:right="257"/>
      </w:pPr>
      <w:proofErr w:type="gramStart"/>
      <w:r>
        <w:lastRenderedPageBreak/>
        <w:t>potentially</w:t>
      </w:r>
      <w:proofErr w:type="gramEnd"/>
      <w:r>
        <w:t xml:space="preserve"> cancelling out across the sensitivity range, if the dropout rate were to be the same in both arms).</w:t>
      </w:r>
    </w:p>
    <w:p w:rsidR="00B0268C" w:rsidRDefault="00B0268C">
      <w:pPr>
        <w:pStyle w:val="BodyText"/>
      </w:pPr>
    </w:p>
    <w:p w:rsidR="00B0268C" w:rsidRDefault="00C408FB">
      <w:pPr>
        <w:pStyle w:val="BodyText"/>
        <w:ind w:left="214" w:right="1428"/>
        <w:rPr>
          <w:i/>
        </w:rPr>
      </w:pPr>
      <w:r>
        <w:t xml:space="preserve">Scenario 1: the treatment effect from the LME model will be increased by </w:t>
      </w:r>
      <w:proofErr w:type="spellStart"/>
      <w:r>
        <w:t>f</w:t>
      </w:r>
      <w:r>
        <w:rPr>
          <w:vertAlign w:val="subscript"/>
        </w:rPr>
        <w:t>i</w:t>
      </w:r>
      <w:r>
        <w:rPr>
          <w:i/>
        </w:rPr>
        <w:t>δ</w:t>
      </w:r>
      <w:proofErr w:type="spellEnd"/>
      <w:r>
        <w:rPr>
          <w:i/>
        </w:rPr>
        <w:t xml:space="preserve"> </w:t>
      </w:r>
      <w:r>
        <w:t>Scenario 2: the treatment effect from the LME model will be increased by -</w:t>
      </w:r>
      <w:proofErr w:type="spellStart"/>
      <w:r>
        <w:rPr>
          <w:i/>
        </w:rPr>
        <w:t>f</w:t>
      </w:r>
      <w:r>
        <w:rPr>
          <w:i/>
          <w:vertAlign w:val="subscript"/>
        </w:rPr>
        <w:t>c</w:t>
      </w:r>
      <w:r>
        <w:t>δ</w:t>
      </w:r>
      <w:proofErr w:type="spellEnd"/>
      <w:r>
        <w:t xml:space="preserve"> Scenario 3: the treatment effect from the LME model will be increased by (f</w:t>
      </w:r>
      <w:r>
        <w:rPr>
          <w:vertAlign w:val="subscript"/>
        </w:rPr>
        <w:t>i</w:t>
      </w:r>
      <w:r>
        <w:rPr>
          <w:i/>
        </w:rPr>
        <w:t>-</w:t>
      </w:r>
      <w:r>
        <w:t>f</w:t>
      </w:r>
      <w:r>
        <w:rPr>
          <w:vertAlign w:val="subscript"/>
        </w:rPr>
        <w:t>c</w:t>
      </w:r>
      <w:proofErr w:type="gramStart"/>
      <w:r>
        <w:rPr>
          <w:i/>
        </w:rPr>
        <w:t>)δ</w:t>
      </w:r>
      <w:proofErr w:type="gramEnd"/>
    </w:p>
    <w:p w:rsidR="00B0268C" w:rsidRDefault="00B0268C">
      <w:pPr>
        <w:pStyle w:val="BodyText"/>
        <w:spacing w:before="4"/>
        <w:rPr>
          <w:i/>
        </w:rPr>
      </w:pPr>
    </w:p>
    <w:p w:rsidR="00B0268C" w:rsidRDefault="00C408FB">
      <w:pPr>
        <w:pStyle w:val="Heading2"/>
        <w:numPr>
          <w:ilvl w:val="1"/>
          <w:numId w:val="6"/>
        </w:numPr>
        <w:tabs>
          <w:tab w:val="left" w:pos="750"/>
        </w:tabs>
        <w:ind w:left="749" w:hanging="536"/>
      </w:pPr>
      <w:bookmarkStart w:id="70" w:name="_bookmark70"/>
      <w:bookmarkEnd w:id="70"/>
      <w:r>
        <w:t>Sensitivity analysis to use of concomitant</w:t>
      </w:r>
      <w:r>
        <w:rPr>
          <w:spacing w:val="-7"/>
        </w:rPr>
        <w:t xml:space="preserve"> </w:t>
      </w:r>
      <w:r>
        <w:t>treatments</w:t>
      </w:r>
    </w:p>
    <w:p w:rsidR="00B0268C" w:rsidRDefault="00B0268C">
      <w:pPr>
        <w:pStyle w:val="BodyText"/>
        <w:spacing w:before="10"/>
        <w:rPr>
          <w:rFonts w:ascii="Arial"/>
          <w:b/>
          <w:sz w:val="28"/>
        </w:rPr>
      </w:pPr>
    </w:p>
    <w:p w:rsidR="00B0268C" w:rsidRDefault="00C408FB">
      <w:pPr>
        <w:pStyle w:val="BodyText"/>
        <w:ind w:left="214" w:right="275"/>
        <w:jc w:val="both"/>
      </w:pPr>
      <w:r>
        <w:t>The use of concomitant treatments will be monitored by the DMC. If necessary, a sensitivity analysis will be undertaken to examine the robustness of the 100-week per protocol analysis to the use of concomitant treatments.</w:t>
      </w:r>
    </w:p>
    <w:p w:rsidR="00B0268C" w:rsidRDefault="00B0268C">
      <w:pPr>
        <w:pStyle w:val="BodyText"/>
        <w:spacing w:before="4"/>
      </w:pPr>
    </w:p>
    <w:p w:rsidR="00B0268C" w:rsidRDefault="00C408FB">
      <w:pPr>
        <w:pStyle w:val="Heading2"/>
        <w:numPr>
          <w:ilvl w:val="1"/>
          <w:numId w:val="6"/>
        </w:numPr>
        <w:tabs>
          <w:tab w:val="left" w:pos="750"/>
        </w:tabs>
        <w:ind w:left="749" w:hanging="536"/>
      </w:pPr>
      <w:bookmarkStart w:id="71" w:name="_bookmark71"/>
      <w:bookmarkEnd w:id="71"/>
      <w:r>
        <w:t>Interim</w:t>
      </w:r>
      <w:r>
        <w:rPr>
          <w:spacing w:val="-3"/>
        </w:rPr>
        <w:t xml:space="preserve"> </w:t>
      </w:r>
      <w:r>
        <w:t>analysis</w:t>
      </w:r>
    </w:p>
    <w:p w:rsidR="00B0268C" w:rsidRDefault="00B0268C">
      <w:pPr>
        <w:pStyle w:val="BodyText"/>
        <w:spacing w:before="8"/>
        <w:rPr>
          <w:rFonts w:ascii="Arial"/>
          <w:b/>
          <w:sz w:val="23"/>
        </w:rPr>
      </w:pPr>
    </w:p>
    <w:p w:rsidR="00B0268C" w:rsidRDefault="00C408FB">
      <w:pPr>
        <w:pStyle w:val="BodyText"/>
        <w:ind w:left="214" w:right="280"/>
        <w:jc w:val="both"/>
      </w:pPr>
      <w:r>
        <w:t>Formal interim analysis of the primary outcome for early stopping is not planned for this study. Regular interim reports will be prepared as needed for DMEC meetings.</w:t>
      </w:r>
    </w:p>
    <w:p w:rsidR="00B0268C" w:rsidRDefault="00B0268C">
      <w:pPr>
        <w:pStyle w:val="BodyText"/>
        <w:rPr>
          <w:sz w:val="26"/>
        </w:rPr>
      </w:pPr>
    </w:p>
    <w:p w:rsidR="00B0268C" w:rsidRDefault="00C408FB">
      <w:pPr>
        <w:pStyle w:val="Heading1"/>
        <w:numPr>
          <w:ilvl w:val="1"/>
          <w:numId w:val="5"/>
        </w:numPr>
        <w:tabs>
          <w:tab w:val="left" w:pos="838"/>
        </w:tabs>
        <w:spacing w:before="222"/>
      </w:pPr>
      <w:bookmarkStart w:id="72" w:name="_bookmark72"/>
      <w:bookmarkEnd w:id="72"/>
      <w:r>
        <w:t>Secondary outcome</w:t>
      </w:r>
      <w:r>
        <w:rPr>
          <w:spacing w:val="-6"/>
        </w:rPr>
        <w:t xml:space="preserve"> </w:t>
      </w:r>
      <w:r>
        <w:t>analysis</w:t>
      </w:r>
    </w:p>
    <w:p w:rsidR="00B0268C" w:rsidRDefault="00B0268C">
      <w:pPr>
        <w:pStyle w:val="BodyText"/>
        <w:spacing w:before="10"/>
        <w:rPr>
          <w:rFonts w:ascii="Arial"/>
          <w:b/>
          <w:sz w:val="23"/>
        </w:rPr>
      </w:pPr>
    </w:p>
    <w:p w:rsidR="00B0268C" w:rsidRDefault="00C408FB">
      <w:pPr>
        <w:pStyle w:val="Heading2"/>
        <w:numPr>
          <w:ilvl w:val="1"/>
          <w:numId w:val="5"/>
        </w:numPr>
        <w:tabs>
          <w:tab w:val="left" w:pos="752"/>
        </w:tabs>
        <w:spacing w:before="1"/>
        <w:ind w:left="751" w:hanging="538"/>
      </w:pPr>
      <w:bookmarkStart w:id="73" w:name="_bookmark73"/>
      <w:bookmarkEnd w:id="73"/>
      <w:r>
        <w:t>Analysis of continuous outcomes</w:t>
      </w:r>
    </w:p>
    <w:p w:rsidR="00B0268C" w:rsidRDefault="00B0268C">
      <w:pPr>
        <w:pStyle w:val="BodyText"/>
        <w:spacing w:before="9"/>
        <w:rPr>
          <w:rFonts w:ascii="Arial"/>
          <w:b/>
          <w:sz w:val="22"/>
        </w:rPr>
      </w:pPr>
    </w:p>
    <w:p w:rsidR="00B0268C" w:rsidRDefault="00C408FB">
      <w:pPr>
        <w:pStyle w:val="BodyText"/>
        <w:ind w:left="214" w:right="269"/>
        <w:jc w:val="both"/>
      </w:pPr>
      <w:r>
        <w:t xml:space="preserve">As for the primary outcome, the analysis of continuous secondary outcomes will be compared between arms at 100-weeks using linear mixed effect model adjusting for all randomisation </w:t>
      </w:r>
      <w:proofErr w:type="spellStart"/>
      <w:r>
        <w:t>stratifiers</w:t>
      </w:r>
      <w:proofErr w:type="spellEnd"/>
      <w:r>
        <w:t xml:space="preserve"> and where collected, the baseline of the outcome with </w:t>
      </w:r>
      <w:proofErr w:type="gramStart"/>
      <w:r>
        <w:t>the  associated</w:t>
      </w:r>
      <w:proofErr w:type="gramEnd"/>
      <w:r>
        <w:t xml:space="preserve"> missing indicator. Time will be represented as categorical contrasts in main effect form and in interaction with all other fixed</w:t>
      </w:r>
      <w:r>
        <w:rPr>
          <w:spacing w:val="-1"/>
        </w:rPr>
        <w:t xml:space="preserve"> </w:t>
      </w:r>
      <w:r>
        <w:t>effects.</w:t>
      </w:r>
    </w:p>
    <w:p w:rsidR="00B0268C" w:rsidRDefault="00B0268C">
      <w:pPr>
        <w:pStyle w:val="BodyText"/>
        <w:spacing w:before="4"/>
      </w:pPr>
    </w:p>
    <w:p w:rsidR="00B0268C" w:rsidRDefault="00C408FB">
      <w:pPr>
        <w:pStyle w:val="Heading2"/>
        <w:numPr>
          <w:ilvl w:val="1"/>
          <w:numId w:val="5"/>
        </w:numPr>
        <w:tabs>
          <w:tab w:val="left" w:pos="752"/>
        </w:tabs>
        <w:spacing w:before="1"/>
        <w:ind w:left="751" w:hanging="538"/>
      </w:pPr>
      <w:bookmarkStart w:id="74" w:name="_bookmark74"/>
      <w:bookmarkEnd w:id="74"/>
      <w:r>
        <w:t>Analysis of binary</w:t>
      </w:r>
      <w:r>
        <w:rPr>
          <w:spacing w:val="-7"/>
        </w:rPr>
        <w:t xml:space="preserve"> </w:t>
      </w:r>
      <w:r>
        <w:t>outcomes</w:t>
      </w:r>
    </w:p>
    <w:p w:rsidR="00B0268C" w:rsidRDefault="00B0268C">
      <w:pPr>
        <w:pStyle w:val="BodyText"/>
        <w:spacing w:before="7"/>
        <w:rPr>
          <w:rFonts w:ascii="Arial"/>
          <w:b/>
          <w:sz w:val="23"/>
        </w:rPr>
      </w:pPr>
    </w:p>
    <w:p w:rsidR="00B0268C" w:rsidRDefault="00C408FB">
      <w:pPr>
        <w:pStyle w:val="BodyText"/>
        <w:ind w:left="214" w:right="271"/>
        <w:jc w:val="both"/>
      </w:pPr>
      <w:r>
        <w:t>For the binary outcomes, such as the proportion of participants with ≥15 ETDRS letter improvement, chi-squared tests will be used. Safety outcomes will be reported as unadjusted patient proportions and rates within and between arms with 95% confidence intervals using exact methods where appropriate.</w:t>
      </w:r>
    </w:p>
    <w:p w:rsidR="00B0268C" w:rsidRDefault="00B0268C">
      <w:pPr>
        <w:pStyle w:val="BodyText"/>
        <w:spacing w:before="4"/>
      </w:pPr>
    </w:p>
    <w:p w:rsidR="00B0268C" w:rsidRDefault="00C408FB">
      <w:pPr>
        <w:pStyle w:val="Heading2"/>
        <w:numPr>
          <w:ilvl w:val="1"/>
          <w:numId w:val="5"/>
        </w:numPr>
        <w:tabs>
          <w:tab w:val="left" w:pos="752"/>
        </w:tabs>
        <w:ind w:left="751" w:hanging="538"/>
      </w:pPr>
      <w:bookmarkStart w:id="75" w:name="_bookmark75"/>
      <w:bookmarkEnd w:id="75"/>
      <w:r>
        <w:t>Analysis methods for secondary</w:t>
      </w:r>
      <w:r>
        <w:rPr>
          <w:spacing w:val="-7"/>
        </w:rPr>
        <w:t xml:space="preserve"> </w:t>
      </w:r>
      <w:r>
        <w:t>outcomes</w:t>
      </w:r>
    </w:p>
    <w:p w:rsidR="00B0268C" w:rsidRDefault="00B0268C">
      <w:pPr>
        <w:pStyle w:val="BodyText"/>
        <w:spacing w:before="8"/>
        <w:rPr>
          <w:rFonts w:ascii="Arial"/>
          <w:b/>
          <w:sz w:val="23"/>
        </w:rPr>
      </w:pPr>
    </w:p>
    <w:p w:rsidR="00B0268C" w:rsidRDefault="00C408FB">
      <w:pPr>
        <w:pStyle w:val="BodyText"/>
        <w:ind w:left="214" w:right="271"/>
        <w:jc w:val="both"/>
      </w:pPr>
      <w:r>
        <w:t>All study analyses will be based on tests that are two-sided, including the two-sided 95% confidence intervals.</w:t>
      </w:r>
    </w:p>
    <w:p w:rsidR="00B0268C" w:rsidRDefault="00B0268C">
      <w:pPr>
        <w:pStyle w:val="BodyText"/>
        <w:spacing w:before="9"/>
        <w:rPr>
          <w:sz w:val="23"/>
        </w:rPr>
      </w:pPr>
    </w:p>
    <w:p w:rsidR="00B0268C" w:rsidRDefault="00C408FB">
      <w:pPr>
        <w:pStyle w:val="BodyText"/>
        <w:ind w:left="214"/>
        <w:jc w:val="both"/>
      </w:pPr>
      <w:r>
        <w:t>For the secondary outcomes mentioned in section 6.2, the following analysis will be used:</w:t>
      </w:r>
    </w:p>
    <w:p w:rsidR="00B0268C" w:rsidRDefault="00B0268C">
      <w:pPr>
        <w:jc w:val="both"/>
        <w:sectPr w:rsidR="00B0268C">
          <w:pgSz w:w="11910" w:h="16840"/>
          <w:pgMar w:top="1040" w:right="1200" w:bottom="1660" w:left="1260" w:header="712" w:footer="1442" w:gutter="0"/>
          <w:cols w:space="720"/>
        </w:sectPr>
      </w:pPr>
    </w:p>
    <w:p w:rsidR="00B0268C" w:rsidRDefault="00B0268C">
      <w:pPr>
        <w:pStyle w:val="BodyText"/>
        <w:rPr>
          <w:sz w:val="20"/>
        </w:rPr>
      </w:pPr>
    </w:p>
    <w:p w:rsidR="00B0268C" w:rsidRDefault="00B0268C">
      <w:pPr>
        <w:pStyle w:val="BodyText"/>
        <w:spacing w:before="8"/>
        <w:rPr>
          <w:sz w:val="11"/>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0"/>
        <w:gridCol w:w="4917"/>
        <w:gridCol w:w="2233"/>
      </w:tblGrid>
      <w:tr w:rsidR="00B0268C">
        <w:trPr>
          <w:trHeight w:val="674"/>
        </w:trPr>
        <w:tc>
          <w:tcPr>
            <w:tcW w:w="1150" w:type="dxa"/>
            <w:shd w:val="clear" w:color="auto" w:fill="D9D9D9"/>
          </w:tcPr>
          <w:p w:rsidR="00B0268C" w:rsidRDefault="00C408FB">
            <w:pPr>
              <w:pStyle w:val="TableParagraph"/>
              <w:spacing w:before="119" w:line="270" w:lineRule="atLeast"/>
              <w:ind w:left="107" w:right="79"/>
              <w:rPr>
                <w:b/>
                <w:sz w:val="24"/>
              </w:rPr>
            </w:pPr>
            <w:r>
              <w:rPr>
                <w:b/>
                <w:sz w:val="24"/>
              </w:rPr>
              <w:t>Types of variables</w:t>
            </w:r>
          </w:p>
        </w:tc>
        <w:tc>
          <w:tcPr>
            <w:tcW w:w="4917" w:type="dxa"/>
            <w:shd w:val="clear" w:color="auto" w:fill="D9D9D9"/>
          </w:tcPr>
          <w:p w:rsidR="00B0268C" w:rsidRDefault="00C408FB">
            <w:pPr>
              <w:pStyle w:val="TableParagraph"/>
              <w:spacing w:before="119"/>
              <w:ind w:left="107"/>
              <w:rPr>
                <w:b/>
                <w:sz w:val="24"/>
              </w:rPr>
            </w:pPr>
            <w:r>
              <w:rPr>
                <w:b/>
                <w:sz w:val="24"/>
              </w:rPr>
              <w:t>Outcomes:</w:t>
            </w:r>
          </w:p>
        </w:tc>
        <w:tc>
          <w:tcPr>
            <w:tcW w:w="2233" w:type="dxa"/>
            <w:shd w:val="clear" w:color="auto" w:fill="D9D9D9"/>
          </w:tcPr>
          <w:p w:rsidR="00B0268C" w:rsidRDefault="00C408FB">
            <w:pPr>
              <w:pStyle w:val="TableParagraph"/>
              <w:spacing w:before="119"/>
              <w:ind w:left="106"/>
              <w:rPr>
                <w:b/>
                <w:sz w:val="24"/>
              </w:rPr>
            </w:pPr>
            <w:r>
              <w:rPr>
                <w:b/>
                <w:sz w:val="24"/>
              </w:rPr>
              <w:t>Methods:</w:t>
            </w:r>
          </w:p>
        </w:tc>
      </w:tr>
      <w:tr w:rsidR="00B0268C">
        <w:trPr>
          <w:trHeight w:val="551"/>
        </w:trPr>
        <w:tc>
          <w:tcPr>
            <w:tcW w:w="1150" w:type="dxa"/>
            <w:vMerge w:val="restart"/>
            <w:textDirection w:val="btLr"/>
          </w:tcPr>
          <w:p w:rsidR="00B0268C" w:rsidRDefault="00B0268C">
            <w:pPr>
              <w:pStyle w:val="TableParagraph"/>
              <w:spacing w:before="10"/>
              <w:rPr>
                <w:sz w:val="37"/>
              </w:rPr>
            </w:pPr>
          </w:p>
          <w:p w:rsidR="00B0268C" w:rsidRDefault="00C408FB">
            <w:pPr>
              <w:pStyle w:val="TableParagraph"/>
              <w:ind w:left="1622" w:right="1621"/>
              <w:jc w:val="center"/>
              <w:rPr>
                <w:b/>
                <w:sz w:val="24"/>
              </w:rPr>
            </w:pPr>
            <w:r>
              <w:rPr>
                <w:b/>
                <w:sz w:val="24"/>
              </w:rPr>
              <w:t>Continuous</w:t>
            </w:r>
          </w:p>
        </w:tc>
        <w:tc>
          <w:tcPr>
            <w:tcW w:w="4917" w:type="dxa"/>
          </w:tcPr>
          <w:p w:rsidR="00B0268C" w:rsidRDefault="00C408FB">
            <w:pPr>
              <w:pStyle w:val="TableParagraph"/>
              <w:spacing w:line="268" w:lineRule="exact"/>
              <w:ind w:left="107"/>
              <w:rPr>
                <w:sz w:val="24"/>
              </w:rPr>
            </w:pPr>
            <w:r>
              <w:rPr>
                <w:sz w:val="24"/>
              </w:rPr>
              <w:t>Best Corrected Visual Acuity at 52 weeks</w:t>
            </w:r>
          </w:p>
        </w:tc>
        <w:tc>
          <w:tcPr>
            <w:tcW w:w="2233" w:type="dxa"/>
          </w:tcPr>
          <w:p w:rsidR="00B0268C" w:rsidRDefault="00C408FB">
            <w:pPr>
              <w:pStyle w:val="TableParagraph"/>
              <w:spacing w:line="268" w:lineRule="exact"/>
              <w:ind w:left="106"/>
              <w:rPr>
                <w:sz w:val="24"/>
              </w:rPr>
            </w:pPr>
            <w:r>
              <w:rPr>
                <w:sz w:val="24"/>
              </w:rPr>
              <w:t>Linear mixed effects</w:t>
            </w:r>
          </w:p>
          <w:p w:rsidR="00B0268C" w:rsidRDefault="00C408FB">
            <w:pPr>
              <w:pStyle w:val="TableParagraph"/>
              <w:spacing w:line="264" w:lineRule="exact"/>
              <w:ind w:left="106"/>
              <w:rPr>
                <w:sz w:val="24"/>
              </w:rPr>
            </w:pPr>
            <w:r>
              <w:rPr>
                <w:sz w:val="24"/>
              </w:rPr>
              <w:t>model</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Mean OCT central subfield thickness (CST) at</w:t>
            </w:r>
          </w:p>
          <w:p w:rsidR="00B0268C" w:rsidRDefault="00C408FB">
            <w:pPr>
              <w:pStyle w:val="TableParagraph"/>
              <w:spacing w:line="264" w:lineRule="exact"/>
              <w:ind w:left="107"/>
              <w:rPr>
                <w:sz w:val="24"/>
              </w:rPr>
            </w:pPr>
            <w:r>
              <w:rPr>
                <w:sz w:val="24"/>
              </w:rPr>
              <w:t>52 and 100 weeks</w:t>
            </w:r>
          </w:p>
        </w:tc>
        <w:tc>
          <w:tcPr>
            <w:tcW w:w="2233" w:type="dxa"/>
          </w:tcPr>
          <w:p w:rsidR="00B0268C" w:rsidRDefault="00C408FB">
            <w:pPr>
              <w:pStyle w:val="TableParagraph"/>
              <w:spacing w:line="268" w:lineRule="exact"/>
              <w:ind w:left="106"/>
              <w:rPr>
                <w:sz w:val="24"/>
              </w:rPr>
            </w:pPr>
            <w:r>
              <w:rPr>
                <w:sz w:val="24"/>
              </w:rPr>
              <w:t>Linear mixed effects</w:t>
            </w:r>
          </w:p>
          <w:p w:rsidR="00B0268C" w:rsidRDefault="00C408FB">
            <w:pPr>
              <w:pStyle w:val="TableParagraph"/>
              <w:spacing w:line="264" w:lineRule="exact"/>
              <w:ind w:left="106"/>
              <w:rPr>
                <w:sz w:val="24"/>
              </w:rPr>
            </w:pPr>
            <w:r>
              <w:rPr>
                <w:sz w:val="24"/>
              </w:rPr>
              <w:t>model</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Macular volume at 52 and 100 weeks</w:t>
            </w:r>
          </w:p>
        </w:tc>
        <w:tc>
          <w:tcPr>
            <w:tcW w:w="2233" w:type="dxa"/>
          </w:tcPr>
          <w:p w:rsidR="00B0268C" w:rsidRDefault="00C408FB">
            <w:pPr>
              <w:pStyle w:val="TableParagraph"/>
              <w:spacing w:line="268" w:lineRule="exact"/>
              <w:ind w:left="106"/>
              <w:rPr>
                <w:sz w:val="24"/>
              </w:rPr>
            </w:pPr>
            <w:r>
              <w:rPr>
                <w:sz w:val="24"/>
              </w:rPr>
              <w:t>Linear mixed effects</w:t>
            </w:r>
          </w:p>
          <w:p w:rsidR="00B0268C" w:rsidRDefault="00C408FB">
            <w:pPr>
              <w:pStyle w:val="TableParagraph"/>
              <w:spacing w:line="264" w:lineRule="exact"/>
              <w:ind w:left="106"/>
              <w:rPr>
                <w:sz w:val="24"/>
              </w:rPr>
            </w:pPr>
            <w:r>
              <w:rPr>
                <w:sz w:val="24"/>
              </w:rPr>
              <w:t>model</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VFQ25 composite score, distance and near</w:t>
            </w:r>
          </w:p>
          <w:p w:rsidR="00B0268C" w:rsidRDefault="00C408FB">
            <w:pPr>
              <w:pStyle w:val="TableParagraph"/>
              <w:spacing w:line="264" w:lineRule="exact"/>
              <w:ind w:left="107"/>
              <w:rPr>
                <w:sz w:val="24"/>
              </w:rPr>
            </w:pPr>
            <w:r>
              <w:rPr>
                <w:sz w:val="24"/>
              </w:rPr>
              <w:t>subscales at 52 and 100 weeks</w:t>
            </w:r>
          </w:p>
        </w:tc>
        <w:tc>
          <w:tcPr>
            <w:tcW w:w="2233" w:type="dxa"/>
          </w:tcPr>
          <w:p w:rsidR="00B0268C" w:rsidRDefault="00C408FB">
            <w:pPr>
              <w:pStyle w:val="TableParagraph"/>
              <w:spacing w:line="268" w:lineRule="exact"/>
              <w:ind w:left="106"/>
              <w:rPr>
                <w:sz w:val="24"/>
              </w:rPr>
            </w:pPr>
            <w:r>
              <w:rPr>
                <w:sz w:val="24"/>
              </w:rPr>
              <w:t>Linear mixed effects</w:t>
            </w:r>
          </w:p>
          <w:p w:rsidR="00B0268C" w:rsidRDefault="00C408FB">
            <w:pPr>
              <w:pStyle w:val="TableParagraph"/>
              <w:spacing w:line="264" w:lineRule="exact"/>
              <w:ind w:left="106"/>
              <w:rPr>
                <w:sz w:val="24"/>
              </w:rPr>
            </w:pPr>
            <w:r>
              <w:rPr>
                <w:sz w:val="24"/>
              </w:rPr>
              <w:t>model</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EQ-5D with and without vision bolt-on at 52</w:t>
            </w:r>
          </w:p>
          <w:p w:rsidR="00B0268C" w:rsidRDefault="00C408FB">
            <w:pPr>
              <w:pStyle w:val="TableParagraph"/>
              <w:spacing w:line="264" w:lineRule="exact"/>
              <w:ind w:left="107"/>
              <w:rPr>
                <w:sz w:val="24"/>
              </w:rPr>
            </w:pPr>
            <w:r>
              <w:rPr>
                <w:sz w:val="24"/>
              </w:rPr>
              <w:t>and 100 weeks</w:t>
            </w:r>
          </w:p>
        </w:tc>
        <w:tc>
          <w:tcPr>
            <w:tcW w:w="2233" w:type="dxa"/>
          </w:tcPr>
          <w:p w:rsidR="00B0268C" w:rsidRDefault="00C408FB">
            <w:pPr>
              <w:pStyle w:val="TableParagraph"/>
              <w:spacing w:line="268" w:lineRule="exact"/>
              <w:ind w:left="106"/>
              <w:rPr>
                <w:sz w:val="24"/>
              </w:rPr>
            </w:pPr>
            <w:r>
              <w:rPr>
                <w:sz w:val="24"/>
              </w:rPr>
              <w:t>Linear mixed effects</w:t>
            </w:r>
          </w:p>
          <w:p w:rsidR="00B0268C" w:rsidRDefault="00C408FB">
            <w:pPr>
              <w:pStyle w:val="TableParagraph"/>
              <w:spacing w:line="264" w:lineRule="exact"/>
              <w:ind w:left="106"/>
              <w:rPr>
                <w:sz w:val="24"/>
              </w:rPr>
            </w:pPr>
            <w:r>
              <w:rPr>
                <w:sz w:val="24"/>
              </w:rPr>
              <w:t>model</w:t>
            </w:r>
          </w:p>
        </w:tc>
      </w:tr>
      <w:tr w:rsidR="00B0268C">
        <w:trPr>
          <w:trHeight w:val="277"/>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58" w:lineRule="exact"/>
              <w:ind w:left="107"/>
              <w:rPr>
                <w:sz w:val="24"/>
              </w:rPr>
            </w:pPr>
            <w:r>
              <w:rPr>
                <w:sz w:val="24"/>
              </w:rPr>
              <w:t>Number of injections by 100 weeks</w:t>
            </w:r>
          </w:p>
        </w:tc>
        <w:tc>
          <w:tcPr>
            <w:tcW w:w="2233" w:type="dxa"/>
          </w:tcPr>
          <w:p w:rsidR="00B0268C" w:rsidRDefault="00C408FB">
            <w:pPr>
              <w:pStyle w:val="TableParagraph"/>
              <w:spacing w:line="258" w:lineRule="exact"/>
              <w:ind w:left="106"/>
              <w:rPr>
                <w:sz w:val="24"/>
              </w:rPr>
            </w:pPr>
            <w:r>
              <w:rPr>
                <w:sz w:val="24"/>
              </w:rPr>
              <w:t>Difference in means</w:t>
            </w:r>
          </w:p>
        </w:tc>
      </w:tr>
      <w:tr w:rsidR="00B0268C">
        <w:trPr>
          <w:trHeight w:val="1380"/>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ind w:left="107" w:right="102"/>
              <w:rPr>
                <w:sz w:val="24"/>
              </w:rPr>
            </w:pPr>
            <w:r>
              <w:rPr>
                <w:sz w:val="24"/>
              </w:rPr>
              <w:t xml:space="preserve">Change in retinal non-perfusion at week 100 as assessed by two methods in different sites: </w:t>
            </w:r>
            <w:proofErr w:type="spellStart"/>
            <w:r>
              <w:rPr>
                <w:sz w:val="24"/>
              </w:rPr>
              <w:t>i</w:t>
            </w:r>
            <w:proofErr w:type="spellEnd"/>
            <w:r>
              <w:rPr>
                <w:sz w:val="24"/>
              </w:rPr>
              <w:t>)Disc area of non-perfusion (in approx. 27 sites) ii)Ischaemic index (in approx. 13</w:t>
            </w:r>
            <w:r>
              <w:rPr>
                <w:spacing w:val="-1"/>
                <w:sz w:val="24"/>
              </w:rPr>
              <w:t xml:space="preserve"> </w:t>
            </w:r>
            <w:r>
              <w:rPr>
                <w:sz w:val="24"/>
              </w:rPr>
              <w:t>sites)</w:t>
            </w:r>
          </w:p>
        </w:tc>
        <w:tc>
          <w:tcPr>
            <w:tcW w:w="2233" w:type="dxa"/>
          </w:tcPr>
          <w:p w:rsidR="00B0268C" w:rsidRDefault="00C408FB">
            <w:pPr>
              <w:pStyle w:val="TableParagraph"/>
              <w:ind w:left="106" w:right="171"/>
              <w:jc w:val="both"/>
              <w:rPr>
                <w:sz w:val="24"/>
              </w:rPr>
            </w:pPr>
            <w:r>
              <w:rPr>
                <w:sz w:val="24"/>
              </w:rPr>
              <w:t xml:space="preserve">ANCOVA (for </w:t>
            </w:r>
            <w:r>
              <w:rPr>
                <w:spacing w:val="-5"/>
                <w:sz w:val="24"/>
              </w:rPr>
              <w:t xml:space="preserve">each </w:t>
            </w:r>
            <w:r>
              <w:rPr>
                <w:sz w:val="24"/>
              </w:rPr>
              <w:t>assessment method) and</w:t>
            </w:r>
            <w:r>
              <w:rPr>
                <w:spacing w:val="59"/>
                <w:sz w:val="24"/>
              </w:rPr>
              <w:t xml:space="preserve"> </w:t>
            </w:r>
            <w:r>
              <w:rPr>
                <w:sz w:val="24"/>
              </w:rPr>
              <w:t>Fisher’s</w:t>
            </w:r>
          </w:p>
          <w:p w:rsidR="00B0268C" w:rsidRDefault="00C408FB">
            <w:pPr>
              <w:pStyle w:val="TableParagraph"/>
              <w:spacing w:line="270" w:lineRule="atLeast"/>
              <w:ind w:left="106" w:right="216"/>
              <w:jc w:val="both"/>
              <w:rPr>
                <w:sz w:val="24"/>
              </w:rPr>
            </w:pPr>
            <w:r>
              <w:rPr>
                <w:sz w:val="24"/>
              </w:rPr>
              <w:t>method of combining p-values</w:t>
            </w:r>
          </w:p>
        </w:tc>
      </w:tr>
      <w:tr w:rsidR="00B0268C">
        <w:trPr>
          <w:trHeight w:val="1103"/>
        </w:trPr>
        <w:tc>
          <w:tcPr>
            <w:tcW w:w="1150" w:type="dxa"/>
            <w:vMerge w:val="restart"/>
            <w:textDirection w:val="btLr"/>
          </w:tcPr>
          <w:p w:rsidR="00B0268C" w:rsidRDefault="00B0268C">
            <w:pPr>
              <w:pStyle w:val="TableParagraph"/>
              <w:spacing w:before="10"/>
              <w:rPr>
                <w:sz w:val="37"/>
              </w:rPr>
            </w:pPr>
          </w:p>
          <w:p w:rsidR="00B0268C" w:rsidRDefault="00C408FB">
            <w:pPr>
              <w:pStyle w:val="TableParagraph"/>
              <w:ind w:left="2036" w:right="2036"/>
              <w:jc w:val="center"/>
              <w:rPr>
                <w:b/>
                <w:sz w:val="24"/>
              </w:rPr>
            </w:pPr>
            <w:r>
              <w:rPr>
                <w:b/>
                <w:sz w:val="24"/>
              </w:rPr>
              <w:t>Categorical</w:t>
            </w:r>
          </w:p>
        </w:tc>
        <w:tc>
          <w:tcPr>
            <w:tcW w:w="4917" w:type="dxa"/>
          </w:tcPr>
          <w:p w:rsidR="00B0268C" w:rsidRDefault="00C408FB">
            <w:pPr>
              <w:pStyle w:val="TableParagraph"/>
              <w:ind w:left="107" w:right="300"/>
              <w:rPr>
                <w:sz w:val="24"/>
              </w:rPr>
            </w:pPr>
            <w:r>
              <w:rPr>
                <w:sz w:val="24"/>
              </w:rPr>
              <w:t>Participants with ≥15 and ≥ 10 ETDRS letter improvement, &lt;15 letter loss and ≥ 30 ETDRS letter loss (severe visual loss) at 52 and 100</w:t>
            </w:r>
          </w:p>
          <w:p w:rsidR="00B0268C" w:rsidRDefault="00C408FB">
            <w:pPr>
              <w:pStyle w:val="TableParagraph"/>
              <w:spacing w:line="264" w:lineRule="exact"/>
              <w:ind w:left="107"/>
              <w:rPr>
                <w:sz w:val="24"/>
              </w:rPr>
            </w:pPr>
            <w:r>
              <w:rPr>
                <w:sz w:val="24"/>
              </w:rPr>
              <w:t>weeks</w:t>
            </w:r>
          </w:p>
        </w:tc>
        <w:tc>
          <w:tcPr>
            <w:tcW w:w="2233" w:type="dxa"/>
          </w:tcPr>
          <w:p w:rsidR="00B0268C" w:rsidRDefault="00C408FB">
            <w:pPr>
              <w:pStyle w:val="TableParagraph"/>
              <w:spacing w:line="268" w:lineRule="exact"/>
              <w:ind w:left="106"/>
              <w:rPr>
                <w:sz w:val="24"/>
              </w:rPr>
            </w:pPr>
            <w:r>
              <w:rPr>
                <w:sz w:val="24"/>
              </w:rPr>
              <w:t>Chi-squared tests</w:t>
            </w:r>
          </w:p>
        </w:tc>
      </w:tr>
      <w:tr w:rsidR="00B0268C">
        <w:trPr>
          <w:trHeight w:val="827"/>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ind w:left="107" w:right="144"/>
              <w:rPr>
                <w:sz w:val="24"/>
              </w:rPr>
            </w:pPr>
            <w:r>
              <w:rPr>
                <w:sz w:val="24"/>
              </w:rPr>
              <w:t>Participants with ≥73 ETDRS letters or better, ≤ 58 ETDRS letter and ≤19 letters at 52 and 100</w:t>
            </w:r>
          </w:p>
          <w:p w:rsidR="00B0268C" w:rsidRDefault="00C408FB">
            <w:pPr>
              <w:pStyle w:val="TableParagraph"/>
              <w:spacing w:line="264" w:lineRule="exact"/>
              <w:ind w:left="107"/>
              <w:rPr>
                <w:sz w:val="24"/>
              </w:rPr>
            </w:pPr>
            <w:r>
              <w:rPr>
                <w:sz w:val="24"/>
              </w:rPr>
              <w:t>weeks</w:t>
            </w:r>
          </w:p>
        </w:tc>
        <w:tc>
          <w:tcPr>
            <w:tcW w:w="2233" w:type="dxa"/>
          </w:tcPr>
          <w:p w:rsidR="00B0268C" w:rsidRDefault="00C408FB">
            <w:pPr>
              <w:pStyle w:val="TableParagraph"/>
              <w:spacing w:line="268" w:lineRule="exact"/>
              <w:ind w:left="106"/>
              <w:rPr>
                <w:sz w:val="24"/>
              </w:rPr>
            </w:pPr>
            <w:r>
              <w:rPr>
                <w:sz w:val="24"/>
              </w:rPr>
              <w:t>Chi-squared tests</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Participants with OCT CST &lt;320µm at 52 and</w:t>
            </w:r>
          </w:p>
          <w:p w:rsidR="00B0268C" w:rsidRDefault="00C408FB">
            <w:pPr>
              <w:pStyle w:val="TableParagraph"/>
              <w:spacing w:line="264" w:lineRule="exact"/>
              <w:ind w:left="107"/>
              <w:rPr>
                <w:sz w:val="24"/>
              </w:rPr>
            </w:pPr>
            <w:r>
              <w:rPr>
                <w:sz w:val="24"/>
              </w:rPr>
              <w:t>100 weeks</w:t>
            </w:r>
          </w:p>
        </w:tc>
        <w:tc>
          <w:tcPr>
            <w:tcW w:w="2233" w:type="dxa"/>
          </w:tcPr>
          <w:p w:rsidR="00B0268C" w:rsidRDefault="00C408FB">
            <w:pPr>
              <w:pStyle w:val="TableParagraph"/>
              <w:spacing w:line="268" w:lineRule="exact"/>
              <w:ind w:left="106"/>
              <w:rPr>
                <w:sz w:val="24"/>
              </w:rPr>
            </w:pPr>
            <w:r>
              <w:rPr>
                <w:sz w:val="24"/>
              </w:rPr>
              <w:t>Chi-squared tests</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Persistent non-responders participants at 52 and</w:t>
            </w:r>
          </w:p>
          <w:p w:rsidR="00B0268C" w:rsidRDefault="00C408FB">
            <w:pPr>
              <w:pStyle w:val="TableParagraph"/>
              <w:spacing w:line="264" w:lineRule="exact"/>
              <w:ind w:left="107"/>
              <w:rPr>
                <w:sz w:val="24"/>
              </w:rPr>
            </w:pPr>
            <w:r>
              <w:rPr>
                <w:sz w:val="24"/>
              </w:rPr>
              <w:t>100 weeks</w:t>
            </w:r>
          </w:p>
        </w:tc>
        <w:tc>
          <w:tcPr>
            <w:tcW w:w="2233" w:type="dxa"/>
          </w:tcPr>
          <w:p w:rsidR="00B0268C" w:rsidRDefault="00C408FB">
            <w:pPr>
              <w:pStyle w:val="TableParagraph"/>
              <w:spacing w:line="268" w:lineRule="exact"/>
              <w:ind w:left="106"/>
              <w:rPr>
                <w:sz w:val="24"/>
              </w:rPr>
            </w:pPr>
            <w:r>
              <w:rPr>
                <w:sz w:val="24"/>
              </w:rPr>
              <w:t>Chi-squared tests</w:t>
            </w:r>
          </w:p>
        </w:tc>
      </w:tr>
      <w:tr w:rsidR="00B0268C">
        <w:trPr>
          <w:trHeight w:val="551"/>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68" w:lineRule="exact"/>
              <w:ind w:left="107"/>
              <w:rPr>
                <w:sz w:val="24"/>
              </w:rPr>
            </w:pPr>
            <w:r>
              <w:rPr>
                <w:sz w:val="24"/>
              </w:rPr>
              <w:t>Participants that develop ocular</w:t>
            </w:r>
          </w:p>
          <w:p w:rsidR="00B0268C" w:rsidRDefault="00C408FB">
            <w:pPr>
              <w:pStyle w:val="TableParagraph"/>
              <w:spacing w:line="264" w:lineRule="exact"/>
              <w:ind w:left="107"/>
              <w:rPr>
                <w:sz w:val="24"/>
              </w:rPr>
            </w:pPr>
            <w:r>
              <w:rPr>
                <w:sz w:val="24"/>
              </w:rPr>
              <w:t>neovascularisation at 52 and 100 weeks</w:t>
            </w:r>
          </w:p>
        </w:tc>
        <w:tc>
          <w:tcPr>
            <w:tcW w:w="2233" w:type="dxa"/>
          </w:tcPr>
          <w:p w:rsidR="00B0268C" w:rsidRDefault="00C408FB">
            <w:pPr>
              <w:pStyle w:val="TableParagraph"/>
              <w:spacing w:line="268" w:lineRule="exact"/>
              <w:ind w:left="106"/>
              <w:rPr>
                <w:sz w:val="24"/>
              </w:rPr>
            </w:pPr>
            <w:r>
              <w:rPr>
                <w:sz w:val="24"/>
              </w:rPr>
              <w:t>Chi-squared tests</w:t>
            </w:r>
          </w:p>
        </w:tc>
      </w:tr>
      <w:tr w:rsidR="00B0268C">
        <w:trPr>
          <w:trHeight w:val="1379"/>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ind w:left="107"/>
              <w:rPr>
                <w:sz w:val="24"/>
              </w:rPr>
            </w:pPr>
            <w:r>
              <w:rPr>
                <w:sz w:val="24"/>
              </w:rPr>
              <w:t xml:space="preserve">Participants with OCT anatomical features: diffuse </w:t>
            </w:r>
            <w:proofErr w:type="spellStart"/>
            <w:r>
              <w:rPr>
                <w:sz w:val="24"/>
              </w:rPr>
              <w:t>intraretinal</w:t>
            </w:r>
            <w:proofErr w:type="spellEnd"/>
            <w:r>
              <w:rPr>
                <w:sz w:val="24"/>
              </w:rPr>
              <w:t xml:space="preserve"> oedema, </w:t>
            </w:r>
            <w:proofErr w:type="spellStart"/>
            <w:r>
              <w:rPr>
                <w:sz w:val="24"/>
              </w:rPr>
              <w:t>intraretinal</w:t>
            </w:r>
            <w:proofErr w:type="spellEnd"/>
            <w:r>
              <w:rPr>
                <w:sz w:val="24"/>
              </w:rPr>
              <w:t xml:space="preserve"> cystic change, </w:t>
            </w:r>
            <w:proofErr w:type="spellStart"/>
            <w:r>
              <w:rPr>
                <w:sz w:val="24"/>
              </w:rPr>
              <w:t>subretinal</w:t>
            </w:r>
            <w:proofErr w:type="spellEnd"/>
            <w:r>
              <w:rPr>
                <w:sz w:val="24"/>
              </w:rPr>
              <w:t xml:space="preserve"> fluid, </w:t>
            </w:r>
            <w:proofErr w:type="spellStart"/>
            <w:r>
              <w:rPr>
                <w:sz w:val="24"/>
              </w:rPr>
              <w:t>vitreomacular</w:t>
            </w:r>
            <w:proofErr w:type="spellEnd"/>
            <w:r>
              <w:rPr>
                <w:sz w:val="24"/>
              </w:rPr>
              <w:t xml:space="preserve"> interface </w:t>
            </w:r>
            <w:proofErr w:type="spellStart"/>
            <w:r>
              <w:rPr>
                <w:sz w:val="24"/>
              </w:rPr>
              <w:t>abnormaility</w:t>
            </w:r>
            <w:proofErr w:type="spellEnd"/>
            <w:r>
              <w:rPr>
                <w:sz w:val="24"/>
              </w:rPr>
              <w:t xml:space="preserve"> (either VMT or ERM) at 52 and</w:t>
            </w:r>
          </w:p>
          <w:p w:rsidR="00B0268C" w:rsidRDefault="00C408FB">
            <w:pPr>
              <w:pStyle w:val="TableParagraph"/>
              <w:spacing w:line="262" w:lineRule="exact"/>
              <w:ind w:left="107"/>
              <w:rPr>
                <w:sz w:val="24"/>
              </w:rPr>
            </w:pPr>
            <w:r>
              <w:rPr>
                <w:sz w:val="24"/>
              </w:rPr>
              <w:t>100</w:t>
            </w:r>
          </w:p>
        </w:tc>
        <w:tc>
          <w:tcPr>
            <w:tcW w:w="2233" w:type="dxa"/>
          </w:tcPr>
          <w:p w:rsidR="00B0268C" w:rsidRDefault="00C408FB">
            <w:pPr>
              <w:pStyle w:val="TableParagraph"/>
              <w:spacing w:line="270" w:lineRule="exact"/>
              <w:ind w:left="106"/>
              <w:rPr>
                <w:sz w:val="24"/>
              </w:rPr>
            </w:pPr>
            <w:r>
              <w:rPr>
                <w:sz w:val="24"/>
              </w:rPr>
              <w:t>Chi-squared tests</w:t>
            </w:r>
          </w:p>
        </w:tc>
      </w:tr>
      <w:tr w:rsidR="00B0268C">
        <w:trPr>
          <w:trHeight w:val="277"/>
        </w:trPr>
        <w:tc>
          <w:tcPr>
            <w:tcW w:w="1150" w:type="dxa"/>
            <w:vMerge/>
            <w:tcBorders>
              <w:top w:val="nil"/>
            </w:tcBorders>
            <w:textDirection w:val="btLr"/>
          </w:tcPr>
          <w:p w:rsidR="00B0268C" w:rsidRDefault="00B0268C">
            <w:pPr>
              <w:rPr>
                <w:sz w:val="2"/>
                <w:szCs w:val="2"/>
              </w:rPr>
            </w:pPr>
          </w:p>
        </w:tc>
        <w:tc>
          <w:tcPr>
            <w:tcW w:w="4917" w:type="dxa"/>
          </w:tcPr>
          <w:p w:rsidR="00B0268C" w:rsidRDefault="00C408FB">
            <w:pPr>
              <w:pStyle w:val="TableParagraph"/>
              <w:spacing w:line="258" w:lineRule="exact"/>
              <w:ind w:left="107"/>
              <w:rPr>
                <w:sz w:val="24"/>
              </w:rPr>
            </w:pPr>
            <w:r>
              <w:rPr>
                <w:sz w:val="24"/>
              </w:rPr>
              <w:t>Prevalence of local and systemic side effects</w:t>
            </w:r>
          </w:p>
        </w:tc>
        <w:tc>
          <w:tcPr>
            <w:tcW w:w="2233" w:type="dxa"/>
          </w:tcPr>
          <w:p w:rsidR="00B0268C" w:rsidRDefault="00C408FB">
            <w:pPr>
              <w:pStyle w:val="TableParagraph"/>
              <w:spacing w:line="258" w:lineRule="exact"/>
              <w:ind w:left="106"/>
              <w:rPr>
                <w:sz w:val="24"/>
              </w:rPr>
            </w:pPr>
            <w:r>
              <w:rPr>
                <w:sz w:val="24"/>
              </w:rPr>
              <w:t>Fisher’s exact test</w:t>
            </w:r>
          </w:p>
        </w:tc>
      </w:tr>
    </w:tbl>
    <w:p w:rsidR="00B0268C" w:rsidRDefault="00B0268C">
      <w:pPr>
        <w:pStyle w:val="BodyText"/>
        <w:rPr>
          <w:sz w:val="20"/>
        </w:rPr>
      </w:pPr>
    </w:p>
    <w:p w:rsidR="00B0268C" w:rsidRDefault="00B0268C">
      <w:pPr>
        <w:pStyle w:val="BodyText"/>
        <w:rPr>
          <w:sz w:val="20"/>
        </w:rPr>
      </w:pPr>
    </w:p>
    <w:p w:rsidR="00B0268C" w:rsidRDefault="00B0268C">
      <w:pPr>
        <w:pStyle w:val="BodyText"/>
        <w:spacing w:before="7"/>
        <w:rPr>
          <w:sz w:val="20"/>
        </w:rPr>
      </w:pPr>
    </w:p>
    <w:p w:rsidR="00B0268C" w:rsidRDefault="00C408FB">
      <w:pPr>
        <w:pStyle w:val="Heading1"/>
        <w:spacing w:before="91"/>
      </w:pPr>
      <w:bookmarkStart w:id="76" w:name="_bookmark76"/>
      <w:bookmarkEnd w:id="76"/>
      <w:r>
        <w:t>15.0 Handling multiple comparisons</w:t>
      </w:r>
    </w:p>
    <w:p w:rsidR="00B0268C" w:rsidRDefault="00B0268C">
      <w:pPr>
        <w:pStyle w:val="BodyText"/>
        <w:spacing w:before="7"/>
        <w:rPr>
          <w:rFonts w:ascii="Arial"/>
          <w:b/>
          <w:sz w:val="27"/>
        </w:rPr>
      </w:pPr>
    </w:p>
    <w:p w:rsidR="00B0268C" w:rsidRDefault="00C408FB">
      <w:pPr>
        <w:pStyle w:val="BodyText"/>
        <w:ind w:left="214" w:right="273"/>
        <w:jc w:val="both"/>
      </w:pPr>
      <w:r>
        <w:t>Significance tests will be used sparingly and restricted where possible to addressing stated hypotheses. Secondary outcomes, as well as the primary outcome, will be summarised using an effect size with a 95% confidence interval. Interpretation for those secondary outcomes that do not directly address the stated study hypotheses will be more cautious.</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Heading1"/>
      </w:pPr>
      <w:bookmarkStart w:id="77" w:name="_bookmark77"/>
      <w:bookmarkEnd w:id="77"/>
      <w:r>
        <w:lastRenderedPageBreak/>
        <w:t>16.0 Software</w:t>
      </w:r>
    </w:p>
    <w:p w:rsidR="00B0268C" w:rsidRDefault="00C408FB">
      <w:pPr>
        <w:pStyle w:val="Heading2"/>
        <w:spacing w:before="267" w:line="274" w:lineRule="exact"/>
        <w:ind w:left="214" w:firstLine="0"/>
        <w:jc w:val="both"/>
        <w:rPr>
          <w:rFonts w:ascii="Times New Roman"/>
        </w:rPr>
      </w:pPr>
      <w:r>
        <w:rPr>
          <w:rFonts w:ascii="Times New Roman"/>
        </w:rPr>
        <w:t>Data management:</w:t>
      </w:r>
    </w:p>
    <w:p w:rsidR="00B0268C" w:rsidRDefault="00C408FB">
      <w:pPr>
        <w:pStyle w:val="BodyText"/>
        <w:ind w:left="214" w:right="276"/>
        <w:jc w:val="both"/>
      </w:pPr>
      <w:r>
        <w:t xml:space="preserve">An online data collection system for clinical trials (MACRO; </w:t>
      </w:r>
      <w:proofErr w:type="spellStart"/>
      <w:r>
        <w:t>InferMed</w:t>
      </w:r>
      <w:proofErr w:type="spellEnd"/>
      <w:r>
        <w:t xml:space="preserve"> Ltd) will be used. This is hosted on a dedicated server at KCL and managed by the MH&amp;N CTU. The MH&amp;N CTU Data Manager will extract data periodically as needed and provide these in comma </w:t>
      </w:r>
      <w:proofErr w:type="spellStart"/>
      <w:r>
        <w:t>sepa</w:t>
      </w:r>
      <w:proofErr w:type="spellEnd"/>
      <w:r>
        <w:t xml:space="preserve"> (.csv)</w:t>
      </w:r>
      <w:r>
        <w:rPr>
          <w:spacing w:val="-2"/>
        </w:rPr>
        <w:t xml:space="preserve"> </w:t>
      </w:r>
      <w:r>
        <w:t>format.</w:t>
      </w:r>
    </w:p>
    <w:p w:rsidR="00B0268C" w:rsidRDefault="00B0268C">
      <w:pPr>
        <w:pStyle w:val="BodyText"/>
        <w:spacing w:before="2"/>
      </w:pPr>
    </w:p>
    <w:p w:rsidR="00B0268C" w:rsidRDefault="00C408FB">
      <w:pPr>
        <w:pStyle w:val="Heading2"/>
        <w:spacing w:before="1" w:line="274" w:lineRule="exact"/>
        <w:ind w:left="214" w:firstLine="0"/>
        <w:jc w:val="both"/>
        <w:rPr>
          <w:rFonts w:ascii="Times New Roman"/>
        </w:rPr>
      </w:pPr>
      <w:r>
        <w:rPr>
          <w:rFonts w:ascii="Times New Roman"/>
        </w:rPr>
        <w:t>Statistical analysis:</w:t>
      </w:r>
    </w:p>
    <w:p w:rsidR="00B0268C" w:rsidRDefault="00C408FB">
      <w:pPr>
        <w:pStyle w:val="BodyText"/>
        <w:ind w:left="214" w:right="925"/>
        <w:jc w:val="both"/>
      </w:pPr>
      <w:r>
        <w:t>The principal software package will be IBM SPSS Statistics 23 and R software will be available.</w:t>
      </w:r>
    </w:p>
    <w:p w:rsidR="00B0268C" w:rsidRDefault="00B0268C">
      <w:pPr>
        <w:pStyle w:val="BodyText"/>
        <w:rPr>
          <w:sz w:val="26"/>
        </w:rPr>
      </w:pPr>
    </w:p>
    <w:p w:rsidR="00B0268C" w:rsidRDefault="00C408FB">
      <w:pPr>
        <w:pStyle w:val="Heading1"/>
        <w:spacing w:before="219"/>
      </w:pPr>
      <w:bookmarkStart w:id="78" w:name="_bookmark78"/>
      <w:bookmarkEnd w:id="78"/>
      <w:r>
        <w:t>17.0 DMC monitoring</w:t>
      </w:r>
    </w:p>
    <w:p w:rsidR="00B0268C" w:rsidRDefault="00B0268C">
      <w:pPr>
        <w:pStyle w:val="BodyText"/>
        <w:spacing w:before="6"/>
        <w:rPr>
          <w:rFonts w:ascii="Arial"/>
          <w:b/>
          <w:sz w:val="27"/>
        </w:rPr>
      </w:pPr>
    </w:p>
    <w:p w:rsidR="00B0268C" w:rsidRDefault="00C408FB">
      <w:pPr>
        <w:pStyle w:val="BodyText"/>
        <w:ind w:left="214" w:right="273"/>
        <w:jc w:val="both"/>
      </w:pPr>
      <w:r>
        <w:t>We expect the DMEC would want to monitor the non-inferiority of the investigational treatments in relation to the standard treatment and we would regularly provide information such as non-compliance and withdrawal and other information listed on appendix 1.</w:t>
      </w:r>
    </w:p>
    <w:p w:rsidR="00B0268C" w:rsidRDefault="00B0268C">
      <w:pPr>
        <w:pStyle w:val="BodyText"/>
        <w:rPr>
          <w:sz w:val="26"/>
        </w:rPr>
      </w:pPr>
    </w:p>
    <w:p w:rsidR="00B0268C" w:rsidRDefault="00C408FB">
      <w:pPr>
        <w:pStyle w:val="Heading1"/>
        <w:spacing w:before="210"/>
      </w:pPr>
      <w:bookmarkStart w:id="79" w:name="_bookmark79"/>
      <w:bookmarkEnd w:id="79"/>
      <w:r>
        <w:t>18.0 Acknowledgments</w:t>
      </w:r>
    </w:p>
    <w:p w:rsidR="00B0268C" w:rsidRDefault="00B0268C">
      <w:pPr>
        <w:pStyle w:val="BodyText"/>
        <w:spacing w:before="9"/>
        <w:rPr>
          <w:rFonts w:ascii="Arial"/>
          <w:b/>
          <w:sz w:val="27"/>
        </w:rPr>
      </w:pPr>
    </w:p>
    <w:p w:rsidR="00B0268C" w:rsidRDefault="00C408FB">
      <w:pPr>
        <w:pStyle w:val="BodyText"/>
        <w:ind w:left="214" w:right="274"/>
        <w:jc w:val="both"/>
      </w:pPr>
      <w:r>
        <w:t xml:space="preserve">In translating the study protocol into this statistical analysis plan, we are grateful to explanations from the study team including Philip Hykin and </w:t>
      </w:r>
      <w:proofErr w:type="spellStart"/>
      <w:r>
        <w:t>Sobha</w:t>
      </w:r>
      <w:proofErr w:type="spellEnd"/>
      <w:r>
        <w:t xml:space="preserve"> </w:t>
      </w:r>
      <w:proofErr w:type="spellStart"/>
      <w:r>
        <w:t>Sivaprasad</w:t>
      </w:r>
      <w:proofErr w:type="spellEnd"/>
      <w:r>
        <w:t>. Further versions of the plan will be commented on by members of the Data Monitoring and Trial Steering Committees.</w:t>
      </w:r>
    </w:p>
    <w:p w:rsidR="00B0268C" w:rsidRDefault="00B0268C">
      <w:pPr>
        <w:pStyle w:val="BodyText"/>
        <w:rPr>
          <w:sz w:val="26"/>
        </w:rPr>
      </w:pPr>
    </w:p>
    <w:p w:rsidR="00B0268C" w:rsidRDefault="00C408FB">
      <w:pPr>
        <w:pStyle w:val="Heading1"/>
        <w:spacing w:before="210"/>
      </w:pPr>
      <w:bookmarkStart w:id="80" w:name="_bookmark80"/>
      <w:bookmarkEnd w:id="80"/>
      <w:r>
        <w:t>19.0 Amendments to Versions</w:t>
      </w:r>
    </w:p>
    <w:p w:rsidR="00B0268C" w:rsidRDefault="00B0268C">
      <w:pPr>
        <w:pStyle w:val="BodyText"/>
        <w:spacing w:before="6"/>
        <w:rPr>
          <w:rFonts w:ascii="Arial"/>
          <w:b/>
          <w:sz w:val="27"/>
        </w:rPr>
      </w:pPr>
    </w:p>
    <w:p w:rsidR="00B0268C" w:rsidRDefault="00C408FB">
      <w:pPr>
        <w:pStyle w:val="BodyText"/>
        <w:ind w:left="214" w:right="270"/>
        <w:jc w:val="both"/>
      </w:pPr>
      <w:r>
        <w:t xml:space="preserve">Version 1 was written by Joana </w:t>
      </w:r>
      <w:proofErr w:type="spellStart"/>
      <w:r>
        <w:t>Vasconcelos</w:t>
      </w:r>
      <w:proofErr w:type="spellEnd"/>
      <w:r>
        <w:t xml:space="preserve"> on 4th November 2013. Version 1.1 was re- written on 16</w:t>
      </w:r>
      <w:r>
        <w:rPr>
          <w:vertAlign w:val="superscript"/>
        </w:rPr>
        <w:t>th</w:t>
      </w:r>
      <w:r>
        <w:t xml:space="preserve"> April 2014 to take into account the study protocol version 1.27.</w:t>
      </w:r>
    </w:p>
    <w:p w:rsidR="00B0268C" w:rsidRDefault="00B0268C">
      <w:pPr>
        <w:pStyle w:val="BodyText"/>
      </w:pPr>
    </w:p>
    <w:p w:rsidR="00B0268C" w:rsidRDefault="00C408FB">
      <w:pPr>
        <w:pStyle w:val="BodyText"/>
        <w:ind w:left="214"/>
        <w:jc w:val="both"/>
      </w:pPr>
      <w:r>
        <w:t>Professor Toby Prevost verified the first version, leading to Version 2 on 21</w:t>
      </w:r>
      <w:r>
        <w:rPr>
          <w:vertAlign w:val="superscript"/>
        </w:rPr>
        <w:t>st</w:t>
      </w:r>
      <w:r>
        <w:t xml:space="preserve"> April 2014.</w:t>
      </w:r>
    </w:p>
    <w:p w:rsidR="00B0268C" w:rsidRDefault="00B0268C">
      <w:pPr>
        <w:pStyle w:val="BodyText"/>
      </w:pPr>
    </w:p>
    <w:p w:rsidR="00B0268C" w:rsidRDefault="00C408FB">
      <w:pPr>
        <w:pStyle w:val="BodyText"/>
        <w:ind w:left="214" w:right="273"/>
        <w:jc w:val="both"/>
      </w:pPr>
      <w:r>
        <w:t>Version 3 was produced on 22</w:t>
      </w:r>
      <w:r>
        <w:rPr>
          <w:vertAlign w:val="superscript"/>
        </w:rPr>
        <w:t>nd</w:t>
      </w:r>
      <w:r>
        <w:t xml:space="preserve"> April 2014 after comments from the Chief Investigator, Phil Hykin and the co-lead investigator, </w:t>
      </w:r>
      <w:proofErr w:type="spellStart"/>
      <w:r>
        <w:t>Sobha</w:t>
      </w:r>
      <w:proofErr w:type="spellEnd"/>
      <w:r>
        <w:t xml:space="preserve"> </w:t>
      </w:r>
      <w:proofErr w:type="spellStart"/>
      <w:r>
        <w:t>Sivaprasad</w:t>
      </w:r>
      <w:proofErr w:type="spellEnd"/>
      <w:r>
        <w:t>.</w:t>
      </w:r>
    </w:p>
    <w:p w:rsidR="00B0268C" w:rsidRDefault="00B0268C">
      <w:pPr>
        <w:pStyle w:val="BodyText"/>
      </w:pPr>
    </w:p>
    <w:p w:rsidR="00B0268C" w:rsidRDefault="00C408FB">
      <w:pPr>
        <w:pStyle w:val="BodyText"/>
        <w:ind w:left="214" w:right="266"/>
        <w:jc w:val="both"/>
      </w:pPr>
      <w:r>
        <w:t>Version 4 was produced on 12</w:t>
      </w:r>
      <w:r>
        <w:rPr>
          <w:vertAlign w:val="superscript"/>
        </w:rPr>
        <w:t>th</w:t>
      </w:r>
      <w:r>
        <w:t xml:space="preserve"> September 2014 which accounted for comments made by the DMC chair/statistician and protocol version 2.2.</w:t>
      </w:r>
    </w:p>
    <w:p w:rsidR="00B0268C" w:rsidRDefault="00B0268C">
      <w:pPr>
        <w:pStyle w:val="BodyText"/>
      </w:pPr>
    </w:p>
    <w:p w:rsidR="00B0268C" w:rsidRDefault="00C408FB">
      <w:pPr>
        <w:pStyle w:val="BodyText"/>
        <w:ind w:left="214" w:right="271"/>
        <w:jc w:val="both"/>
      </w:pPr>
      <w:r>
        <w:t>Version 5 was produced on 30</w:t>
      </w:r>
      <w:r>
        <w:rPr>
          <w:vertAlign w:val="superscript"/>
        </w:rPr>
        <w:t>th</w:t>
      </w:r>
      <w:r>
        <w:t xml:space="preserve"> September 2014 and updated on 26</w:t>
      </w:r>
      <w:r>
        <w:rPr>
          <w:vertAlign w:val="superscript"/>
        </w:rPr>
        <w:t>th</w:t>
      </w:r>
      <w:r>
        <w:t xml:space="preserve"> November 2014 to take into account LEAVO protocol v3.0. This will be the final version approved by the independent TSC after their comments.</w:t>
      </w:r>
    </w:p>
    <w:p w:rsidR="00B0268C" w:rsidRDefault="00B0268C">
      <w:pPr>
        <w:pStyle w:val="BodyText"/>
        <w:spacing w:before="6"/>
      </w:pPr>
    </w:p>
    <w:p w:rsidR="00B0268C" w:rsidRDefault="00C408FB">
      <w:pPr>
        <w:pStyle w:val="Heading2"/>
        <w:ind w:left="214" w:firstLine="0"/>
        <w:jc w:val="both"/>
        <w:rPr>
          <w:rFonts w:ascii="Times New Roman"/>
        </w:rPr>
      </w:pPr>
      <w:r>
        <w:rPr>
          <w:rFonts w:ascii="Times New Roman"/>
        </w:rPr>
        <w:t>Amendments to versions will be listed here.</w:t>
      </w:r>
    </w:p>
    <w:p w:rsidR="00B0268C" w:rsidRDefault="00B0268C">
      <w:pPr>
        <w:pStyle w:val="BodyText"/>
        <w:spacing w:before="6"/>
        <w:rPr>
          <w:b/>
          <w:sz w:val="23"/>
        </w:rPr>
      </w:pPr>
    </w:p>
    <w:p w:rsidR="00B0268C" w:rsidRDefault="00C408FB">
      <w:pPr>
        <w:pStyle w:val="BodyText"/>
        <w:spacing w:before="1"/>
        <w:ind w:left="214" w:right="271"/>
        <w:jc w:val="both"/>
      </w:pPr>
      <w:r>
        <w:t>Version 5.1 was amended to Version 5.2 as a result of the DMC meeting held on 11</w:t>
      </w:r>
      <w:r>
        <w:rPr>
          <w:vertAlign w:val="superscript"/>
        </w:rPr>
        <w:t>th</w:t>
      </w:r>
      <w:r>
        <w:t xml:space="preserve"> December, in open session, and the DMC recommendation to the TSC, discussed at the TSC meeting on 8</w:t>
      </w:r>
      <w:r>
        <w:rPr>
          <w:vertAlign w:val="superscript"/>
        </w:rPr>
        <w:t>th</w:t>
      </w:r>
      <w:r>
        <w:t xml:space="preserve"> January 2016.</w:t>
      </w:r>
    </w:p>
    <w:p w:rsidR="00B0268C" w:rsidRDefault="00B0268C">
      <w:pPr>
        <w:jc w:val="both"/>
        <w:sectPr w:rsidR="00B0268C">
          <w:pgSz w:w="11910" w:h="16840"/>
          <w:pgMar w:top="1040" w:right="1200" w:bottom="1640" w:left="1260" w:header="712" w:footer="1442" w:gutter="0"/>
          <w:cols w:space="720"/>
        </w:sectPr>
      </w:pPr>
    </w:p>
    <w:p w:rsidR="00B0268C" w:rsidRDefault="00B0268C">
      <w:pPr>
        <w:pStyle w:val="BodyText"/>
        <w:spacing w:before="2"/>
        <w:rPr>
          <w:sz w:val="23"/>
        </w:rPr>
      </w:pPr>
    </w:p>
    <w:p w:rsidR="00B0268C" w:rsidRDefault="00C408FB">
      <w:pPr>
        <w:pStyle w:val="BodyText"/>
        <w:spacing w:before="90"/>
        <w:ind w:left="214" w:right="270"/>
        <w:jc w:val="both"/>
      </w:pPr>
      <w:r>
        <w:t xml:space="preserve">The DMC discussed the circumstances under which a BCVA score at 100 weeks, or other </w:t>
      </w:r>
      <w:proofErr w:type="spellStart"/>
      <w:r>
        <w:t>timepoints</w:t>
      </w:r>
      <w:proofErr w:type="spellEnd"/>
      <w:r>
        <w:t xml:space="preserve">, would not reflect the underlying visual status of a participant. </w:t>
      </w:r>
      <w:r>
        <w:rPr>
          <w:spacing w:val="-3"/>
        </w:rPr>
        <w:t xml:space="preserve">In </w:t>
      </w:r>
      <w:r>
        <w:t>particular, recent vitreous haemorrhage</w:t>
      </w:r>
      <w:r>
        <w:rPr>
          <w:strike/>
        </w:rPr>
        <w:t>s</w:t>
      </w:r>
      <w:r>
        <w:t xml:space="preserve"> may cause low BCVA scores which would then return to normal for the patient, either spontaneously or through appropriate clinical management (vitrectomy). The challenge is that any such measurements could artificially induce very large negative changes in BCVA which would have enormous influence in statistical analysis – specifically by leading to very large inflations in the standard deviation for the change from baseline. This could have profound implications for the ability of this non- inferiority trial to achieve its objectives, which rely on the 95% confidence interval for the difference between randomised groups in the change from baseline falling within pre- specified bounds (the non-inferiority margin). As such values intrinsically do not reflect the underlying visual status of the patient, the DMC proposed that the TSC consider amending the primary analysis population measurements to exclude from analysis any refracted BCVA measurement which is both &gt;3 SD below the mean at that </w:t>
      </w:r>
      <w:proofErr w:type="spellStart"/>
      <w:r>
        <w:t>timepoint</w:t>
      </w:r>
      <w:proofErr w:type="spellEnd"/>
      <w:r>
        <w:t xml:space="preserve"> (including all measurements) and taken within 3 months of occurrences of a vitreous haemorrhage. The TSC also considered a proposal from the PI that Visual Acuity loss due to other </w:t>
      </w:r>
      <w:proofErr w:type="spellStart"/>
      <w:r>
        <w:t>casues</w:t>
      </w:r>
      <w:proofErr w:type="spellEnd"/>
      <w:r>
        <w:t xml:space="preserve"> unrelated to maculopathy secondary to CRVO be included. The absolute number of measurements excluded across the </w:t>
      </w:r>
      <w:proofErr w:type="spellStart"/>
      <w:r>
        <w:t>timepoints</w:t>
      </w:r>
      <w:proofErr w:type="spellEnd"/>
      <w:r>
        <w:t xml:space="preserve"> of measurement of refracted visual acuity is expected to be small. The TSC requested confirmation that these occurrences (number and nature) will be transparently reported by arm, and this has been included in this</w:t>
      </w:r>
      <w:r>
        <w:rPr>
          <w:spacing w:val="-9"/>
        </w:rPr>
        <w:t xml:space="preserve"> </w:t>
      </w:r>
      <w:r>
        <w:t>SAP.</w:t>
      </w:r>
    </w:p>
    <w:p w:rsidR="00B0268C" w:rsidRDefault="00B0268C">
      <w:pPr>
        <w:pStyle w:val="BodyText"/>
        <w:spacing w:before="2"/>
      </w:pPr>
    </w:p>
    <w:p w:rsidR="00B0268C" w:rsidRDefault="00C408FB">
      <w:pPr>
        <w:pStyle w:val="BodyText"/>
        <w:ind w:left="214" w:right="271"/>
        <w:jc w:val="both"/>
      </w:pPr>
      <w:r>
        <w:t>Version 5.2 was amended to Version 5.3 as a result of the DMC meeting held on 1</w:t>
      </w:r>
      <w:r>
        <w:rPr>
          <w:vertAlign w:val="superscript"/>
        </w:rPr>
        <w:t>st</w:t>
      </w:r>
      <w:r>
        <w:t xml:space="preserve"> November 2016. The inclusion/exclusion criteria and the Per Protocol definition </w:t>
      </w:r>
      <w:proofErr w:type="gramStart"/>
      <w:r>
        <w:t>was</w:t>
      </w:r>
      <w:proofErr w:type="gramEnd"/>
      <w:r>
        <w:t xml:space="preserve"> updated to be in conformity with the Protocol version 4.0 as well as the wording of the secondary objectives. The randomisation </w:t>
      </w:r>
      <w:proofErr w:type="spellStart"/>
      <w:r>
        <w:t>stratifier</w:t>
      </w:r>
      <w:proofErr w:type="spellEnd"/>
      <w:r>
        <w:t xml:space="preserve"> ‘previous treatment’ was removed from the outcome analysis models as a covariate as well as a variable in subgroup analysis due to the very small number of patients having had previous treatment in the trial. Also the categories 3-6 months and &gt;6months of the disease duration </w:t>
      </w:r>
      <w:proofErr w:type="spellStart"/>
      <w:r>
        <w:t>stratifier</w:t>
      </w:r>
      <w:proofErr w:type="spellEnd"/>
      <w:r>
        <w:t xml:space="preserve"> will be merged for the same reasons and will be analysed as such in the models and subgroup analysis. Finally, the method of randomisation had been </w:t>
      </w:r>
      <w:proofErr w:type="spellStart"/>
      <w:r>
        <w:t>mis</w:t>
      </w:r>
      <w:proofErr w:type="spellEnd"/>
      <w:r>
        <w:t>-typed in on section 8.2 in the SAP as being stratified, whereas it has all along been minimisation. This wording has been</w:t>
      </w:r>
      <w:r>
        <w:rPr>
          <w:spacing w:val="-6"/>
        </w:rPr>
        <w:t xml:space="preserve"> </w:t>
      </w:r>
      <w:r>
        <w:t>corrected.</w:t>
      </w:r>
    </w:p>
    <w:p w:rsidR="00B0268C" w:rsidRDefault="00B0268C">
      <w:pPr>
        <w:jc w:val="both"/>
        <w:sectPr w:rsidR="00B0268C">
          <w:pgSz w:w="11910" w:h="16840"/>
          <w:pgMar w:top="1040" w:right="1200" w:bottom="1660" w:left="1260" w:header="712" w:footer="1442" w:gutter="0"/>
          <w:cols w:space="720"/>
        </w:sectPr>
      </w:pPr>
    </w:p>
    <w:p w:rsidR="00B0268C" w:rsidRDefault="00C408FB">
      <w:pPr>
        <w:pStyle w:val="Heading1"/>
      </w:pPr>
      <w:bookmarkStart w:id="81" w:name="_bookmark81"/>
      <w:bookmarkEnd w:id="81"/>
      <w:r>
        <w:lastRenderedPageBreak/>
        <w:t>Reference list</w:t>
      </w:r>
    </w:p>
    <w:p w:rsidR="00B0268C" w:rsidRDefault="00B0268C">
      <w:pPr>
        <w:pStyle w:val="BodyText"/>
        <w:spacing w:before="2"/>
        <w:rPr>
          <w:rFonts w:ascii="Arial"/>
          <w:b/>
          <w:sz w:val="36"/>
        </w:rPr>
      </w:pPr>
    </w:p>
    <w:p w:rsidR="00B0268C" w:rsidRDefault="00C408FB">
      <w:pPr>
        <w:pStyle w:val="ListParagraph"/>
        <w:numPr>
          <w:ilvl w:val="0"/>
          <w:numId w:val="4"/>
        </w:numPr>
        <w:tabs>
          <w:tab w:val="left" w:pos="934"/>
        </w:tabs>
        <w:ind w:right="277" w:firstLine="0"/>
        <w:jc w:val="both"/>
        <w:rPr>
          <w:sz w:val="24"/>
        </w:rPr>
      </w:pPr>
      <w:bookmarkStart w:id="82" w:name="_bookmark82"/>
      <w:bookmarkEnd w:id="82"/>
      <w:r>
        <w:rPr>
          <w:sz w:val="24"/>
        </w:rPr>
        <w:t xml:space="preserve">International conference on harmonisation; guidance on statistical principles for clinical trials; availability--FDA. Notice. </w:t>
      </w:r>
      <w:r>
        <w:rPr>
          <w:i/>
          <w:sz w:val="24"/>
        </w:rPr>
        <w:t xml:space="preserve">Fed </w:t>
      </w:r>
      <w:proofErr w:type="spellStart"/>
      <w:r>
        <w:rPr>
          <w:i/>
          <w:sz w:val="24"/>
        </w:rPr>
        <w:t>Regist</w:t>
      </w:r>
      <w:proofErr w:type="spellEnd"/>
      <w:r>
        <w:rPr>
          <w:sz w:val="24"/>
        </w:rPr>
        <w:t>.</w:t>
      </w:r>
      <w:r>
        <w:rPr>
          <w:spacing w:val="-3"/>
          <w:sz w:val="24"/>
        </w:rPr>
        <w:t xml:space="preserve"> </w:t>
      </w:r>
      <w:r>
        <w:rPr>
          <w:sz w:val="24"/>
        </w:rPr>
        <w:t>1998</w:t>
      </w:r>
      <w:proofErr w:type="gramStart"/>
      <w:r>
        <w:rPr>
          <w:sz w:val="24"/>
        </w:rPr>
        <w:t>;63</w:t>
      </w:r>
      <w:proofErr w:type="gramEnd"/>
      <w:r>
        <w:rPr>
          <w:sz w:val="24"/>
        </w:rPr>
        <w:t>(179):49583-98.</w:t>
      </w:r>
    </w:p>
    <w:p w:rsidR="00B0268C" w:rsidRDefault="00C408FB">
      <w:pPr>
        <w:pStyle w:val="ListParagraph"/>
        <w:numPr>
          <w:ilvl w:val="0"/>
          <w:numId w:val="4"/>
        </w:numPr>
        <w:tabs>
          <w:tab w:val="left" w:pos="934"/>
        </w:tabs>
        <w:ind w:right="278" w:firstLine="0"/>
        <w:jc w:val="both"/>
        <w:rPr>
          <w:sz w:val="24"/>
        </w:rPr>
      </w:pPr>
      <w:bookmarkStart w:id="83" w:name="_bookmark83"/>
      <w:bookmarkEnd w:id="83"/>
      <w:r>
        <w:rPr>
          <w:sz w:val="24"/>
        </w:rPr>
        <w:t xml:space="preserve">Schulz KF, Altman DG, Moher D, </w:t>
      </w:r>
      <w:proofErr w:type="gramStart"/>
      <w:r>
        <w:rPr>
          <w:sz w:val="24"/>
        </w:rPr>
        <w:t>Group</w:t>
      </w:r>
      <w:proofErr w:type="gramEnd"/>
      <w:r>
        <w:rPr>
          <w:sz w:val="24"/>
        </w:rPr>
        <w:t xml:space="preserve"> C. CONSORT 2010 statement: updated guidelines for reporting parallel group randomised trials. </w:t>
      </w:r>
      <w:r>
        <w:rPr>
          <w:i/>
          <w:sz w:val="24"/>
        </w:rPr>
        <w:t>BMJ</w:t>
      </w:r>
      <w:r>
        <w:rPr>
          <w:sz w:val="24"/>
        </w:rPr>
        <w:t>.</w:t>
      </w:r>
      <w:r>
        <w:rPr>
          <w:spacing w:val="-1"/>
          <w:sz w:val="24"/>
        </w:rPr>
        <w:t xml:space="preserve"> </w:t>
      </w:r>
      <w:r>
        <w:rPr>
          <w:sz w:val="24"/>
        </w:rPr>
        <w:t>2010</w:t>
      </w:r>
      <w:proofErr w:type="gramStart"/>
      <w:r>
        <w:rPr>
          <w:sz w:val="24"/>
        </w:rPr>
        <w:t>;340:c332</w:t>
      </w:r>
      <w:proofErr w:type="gramEnd"/>
      <w:r>
        <w:rPr>
          <w:sz w:val="24"/>
        </w:rPr>
        <w:t>.</w:t>
      </w:r>
    </w:p>
    <w:p w:rsidR="00B0268C" w:rsidRDefault="00C408FB">
      <w:pPr>
        <w:pStyle w:val="ListParagraph"/>
        <w:numPr>
          <w:ilvl w:val="0"/>
          <w:numId w:val="4"/>
        </w:numPr>
        <w:tabs>
          <w:tab w:val="left" w:pos="934"/>
        </w:tabs>
        <w:ind w:right="271" w:firstLine="0"/>
        <w:jc w:val="both"/>
        <w:rPr>
          <w:sz w:val="24"/>
        </w:rPr>
      </w:pPr>
      <w:bookmarkStart w:id="84" w:name="_bookmark84"/>
      <w:bookmarkEnd w:id="84"/>
      <w:r>
        <w:rPr>
          <w:sz w:val="24"/>
        </w:rPr>
        <w:t xml:space="preserve">Committee for Proprietary Medicinal P. Committee for Proprietary Medicinal Products (CPMP): points to consider on adjustment for baseline covariates. </w:t>
      </w:r>
      <w:r>
        <w:rPr>
          <w:i/>
          <w:sz w:val="24"/>
        </w:rPr>
        <w:t>Stat Med</w:t>
      </w:r>
      <w:r>
        <w:rPr>
          <w:sz w:val="24"/>
        </w:rPr>
        <w:t>. 2004</w:t>
      </w:r>
      <w:proofErr w:type="gramStart"/>
      <w:r>
        <w:rPr>
          <w:sz w:val="24"/>
        </w:rPr>
        <w:t>;23</w:t>
      </w:r>
      <w:proofErr w:type="gramEnd"/>
      <w:r>
        <w:rPr>
          <w:sz w:val="24"/>
        </w:rPr>
        <w:t>(5):701-9.</w:t>
      </w:r>
    </w:p>
    <w:p w:rsidR="00B0268C" w:rsidRDefault="00C408FB">
      <w:pPr>
        <w:pStyle w:val="ListParagraph"/>
        <w:numPr>
          <w:ilvl w:val="0"/>
          <w:numId w:val="4"/>
        </w:numPr>
        <w:tabs>
          <w:tab w:val="left" w:pos="934"/>
        </w:tabs>
        <w:ind w:left="934"/>
        <w:jc w:val="both"/>
        <w:rPr>
          <w:sz w:val="24"/>
        </w:rPr>
      </w:pPr>
      <w:bookmarkStart w:id="85" w:name="_bookmark85"/>
      <w:bookmarkEnd w:id="85"/>
      <w:r>
        <w:rPr>
          <w:sz w:val="24"/>
        </w:rPr>
        <w:t>Guidance for Industry Non-Inferiority Clinical</w:t>
      </w:r>
      <w:r>
        <w:rPr>
          <w:spacing w:val="-10"/>
          <w:sz w:val="24"/>
        </w:rPr>
        <w:t xml:space="preserve"> </w:t>
      </w:r>
      <w:r>
        <w:rPr>
          <w:sz w:val="24"/>
        </w:rPr>
        <w:t>Trials.</w:t>
      </w:r>
    </w:p>
    <w:p w:rsidR="00B0268C" w:rsidRDefault="00C408FB">
      <w:pPr>
        <w:pStyle w:val="ListParagraph"/>
        <w:numPr>
          <w:ilvl w:val="0"/>
          <w:numId w:val="4"/>
        </w:numPr>
        <w:tabs>
          <w:tab w:val="left" w:pos="934"/>
        </w:tabs>
        <w:ind w:right="279" w:firstLine="0"/>
        <w:jc w:val="both"/>
        <w:rPr>
          <w:sz w:val="24"/>
        </w:rPr>
      </w:pPr>
      <w:bookmarkStart w:id="86" w:name="_bookmark86"/>
      <w:bookmarkEnd w:id="86"/>
      <w:r>
        <w:rPr>
          <w:sz w:val="24"/>
        </w:rPr>
        <w:t xml:space="preserve">Committee for Proprietary Medicinal P. Points to consider on switching between superiority and non-inferiority. </w:t>
      </w:r>
      <w:r>
        <w:rPr>
          <w:i/>
          <w:sz w:val="24"/>
        </w:rPr>
        <w:t xml:space="preserve">Br J </w:t>
      </w:r>
      <w:proofErr w:type="spellStart"/>
      <w:r>
        <w:rPr>
          <w:i/>
          <w:sz w:val="24"/>
        </w:rPr>
        <w:t>Clin</w:t>
      </w:r>
      <w:proofErr w:type="spellEnd"/>
      <w:r>
        <w:rPr>
          <w:i/>
          <w:sz w:val="24"/>
        </w:rPr>
        <w:t xml:space="preserve"> </w:t>
      </w:r>
      <w:proofErr w:type="spellStart"/>
      <w:r>
        <w:rPr>
          <w:i/>
          <w:sz w:val="24"/>
        </w:rPr>
        <w:t>Pharmacol</w:t>
      </w:r>
      <w:proofErr w:type="spellEnd"/>
      <w:r>
        <w:rPr>
          <w:sz w:val="24"/>
        </w:rPr>
        <w:t>.</w:t>
      </w:r>
      <w:r>
        <w:rPr>
          <w:spacing w:val="-5"/>
          <w:sz w:val="24"/>
        </w:rPr>
        <w:t xml:space="preserve"> </w:t>
      </w:r>
      <w:r>
        <w:rPr>
          <w:sz w:val="24"/>
        </w:rPr>
        <w:t>2001</w:t>
      </w:r>
      <w:proofErr w:type="gramStart"/>
      <w:r>
        <w:rPr>
          <w:sz w:val="24"/>
        </w:rPr>
        <w:t>;52</w:t>
      </w:r>
      <w:proofErr w:type="gramEnd"/>
      <w:r>
        <w:rPr>
          <w:sz w:val="24"/>
        </w:rPr>
        <w:t>(3):223-8.</w:t>
      </w:r>
    </w:p>
    <w:p w:rsidR="00B0268C" w:rsidRDefault="00C408FB">
      <w:pPr>
        <w:pStyle w:val="ListParagraph"/>
        <w:numPr>
          <w:ilvl w:val="0"/>
          <w:numId w:val="4"/>
        </w:numPr>
        <w:tabs>
          <w:tab w:val="left" w:pos="934"/>
        </w:tabs>
        <w:ind w:right="271" w:firstLine="0"/>
        <w:jc w:val="both"/>
        <w:rPr>
          <w:sz w:val="24"/>
        </w:rPr>
      </w:pPr>
      <w:bookmarkStart w:id="87" w:name="_bookmark87"/>
      <w:bookmarkEnd w:id="87"/>
      <w:r>
        <w:rPr>
          <w:sz w:val="24"/>
        </w:rPr>
        <w:t xml:space="preserve">Garrett AD. Therapeutic equivalence: fallacies and falsification. </w:t>
      </w:r>
      <w:r>
        <w:rPr>
          <w:i/>
          <w:sz w:val="24"/>
        </w:rPr>
        <w:t>Stat Med</w:t>
      </w:r>
      <w:r>
        <w:rPr>
          <w:sz w:val="24"/>
        </w:rPr>
        <w:t>. 2003</w:t>
      </w:r>
      <w:proofErr w:type="gramStart"/>
      <w:r>
        <w:rPr>
          <w:sz w:val="24"/>
        </w:rPr>
        <w:t>;22</w:t>
      </w:r>
      <w:proofErr w:type="gramEnd"/>
      <w:r>
        <w:rPr>
          <w:sz w:val="24"/>
        </w:rPr>
        <w:t>(5):741-62.</w:t>
      </w:r>
    </w:p>
    <w:p w:rsidR="00B0268C" w:rsidRDefault="00C408FB">
      <w:pPr>
        <w:pStyle w:val="ListParagraph"/>
        <w:numPr>
          <w:ilvl w:val="0"/>
          <w:numId w:val="4"/>
        </w:numPr>
        <w:tabs>
          <w:tab w:val="left" w:pos="934"/>
        </w:tabs>
        <w:ind w:right="273" w:firstLine="0"/>
        <w:jc w:val="both"/>
        <w:rPr>
          <w:sz w:val="24"/>
        </w:rPr>
      </w:pPr>
      <w:bookmarkStart w:id="88" w:name="_bookmark88"/>
      <w:bookmarkEnd w:id="88"/>
      <w:proofErr w:type="spellStart"/>
      <w:r>
        <w:rPr>
          <w:sz w:val="24"/>
        </w:rPr>
        <w:t>Lasaffre</w:t>
      </w:r>
      <w:proofErr w:type="spellEnd"/>
      <w:r>
        <w:rPr>
          <w:sz w:val="24"/>
        </w:rPr>
        <w:t xml:space="preserve"> E. Superiority, Equivalence and Non-Inferiority Trials. </w:t>
      </w:r>
      <w:r>
        <w:rPr>
          <w:i/>
          <w:sz w:val="24"/>
        </w:rPr>
        <w:t xml:space="preserve">Bull NYU </w:t>
      </w:r>
      <w:proofErr w:type="spellStart"/>
      <w:r>
        <w:rPr>
          <w:i/>
          <w:sz w:val="24"/>
        </w:rPr>
        <w:t>Hosp</w:t>
      </w:r>
      <w:proofErr w:type="spellEnd"/>
      <w:r>
        <w:rPr>
          <w:i/>
          <w:sz w:val="24"/>
        </w:rPr>
        <w:t xml:space="preserve"> </w:t>
      </w:r>
      <w:proofErr w:type="spellStart"/>
      <w:r>
        <w:rPr>
          <w:i/>
          <w:sz w:val="24"/>
        </w:rPr>
        <w:t>Jt</w:t>
      </w:r>
      <w:proofErr w:type="spellEnd"/>
      <w:r>
        <w:rPr>
          <w:i/>
          <w:sz w:val="24"/>
        </w:rPr>
        <w:t xml:space="preserve"> Dis</w:t>
      </w:r>
      <w:r>
        <w:rPr>
          <w:sz w:val="24"/>
        </w:rPr>
        <w:t>.</w:t>
      </w:r>
      <w:r>
        <w:rPr>
          <w:spacing w:val="-1"/>
          <w:sz w:val="24"/>
        </w:rPr>
        <w:t xml:space="preserve"> </w:t>
      </w:r>
      <w:r>
        <w:rPr>
          <w:sz w:val="24"/>
        </w:rPr>
        <w:t>2008</w:t>
      </w:r>
      <w:proofErr w:type="gramStart"/>
      <w:r>
        <w:rPr>
          <w:sz w:val="24"/>
        </w:rPr>
        <w:t>;66</w:t>
      </w:r>
      <w:proofErr w:type="gramEnd"/>
      <w:r>
        <w:rPr>
          <w:sz w:val="24"/>
        </w:rPr>
        <w:t>(2):150-42008.</w:t>
      </w:r>
    </w:p>
    <w:p w:rsidR="00B0268C" w:rsidRDefault="00C408FB">
      <w:pPr>
        <w:pStyle w:val="ListParagraph"/>
        <w:numPr>
          <w:ilvl w:val="0"/>
          <w:numId w:val="4"/>
        </w:numPr>
        <w:tabs>
          <w:tab w:val="left" w:pos="934"/>
        </w:tabs>
        <w:spacing w:before="1"/>
        <w:ind w:right="276" w:firstLine="0"/>
        <w:jc w:val="both"/>
        <w:rPr>
          <w:sz w:val="24"/>
        </w:rPr>
      </w:pPr>
      <w:bookmarkStart w:id="89" w:name="_bookmark89"/>
      <w:bookmarkEnd w:id="89"/>
      <w:r>
        <w:rPr>
          <w:sz w:val="24"/>
        </w:rPr>
        <w:t xml:space="preserve">Patient.co.uk: </w:t>
      </w:r>
      <w:proofErr w:type="spellStart"/>
      <w:r>
        <w:rPr>
          <w:sz w:val="24"/>
        </w:rPr>
        <w:t>Egton</w:t>
      </w:r>
      <w:proofErr w:type="spellEnd"/>
      <w:r>
        <w:rPr>
          <w:sz w:val="24"/>
        </w:rPr>
        <w:t xml:space="preserve"> Medical Information Systems Limited; [cited 2014]. Available from:</w:t>
      </w:r>
      <w:r>
        <w:rPr>
          <w:color w:val="0000FF"/>
          <w:spacing w:val="-1"/>
          <w:sz w:val="24"/>
        </w:rPr>
        <w:t xml:space="preserve"> </w:t>
      </w:r>
      <w:hyperlink r:id="rId23">
        <w:r>
          <w:rPr>
            <w:color w:val="0000FF"/>
            <w:sz w:val="24"/>
            <w:u w:val="single" w:color="0000FF"/>
          </w:rPr>
          <w:t>http://www.patient.co.uk/</w:t>
        </w:r>
      </w:hyperlink>
      <w:r>
        <w:rPr>
          <w:sz w:val="24"/>
        </w:rPr>
        <w:t>.</w:t>
      </w:r>
    </w:p>
    <w:p w:rsidR="00B0268C" w:rsidRDefault="00C408FB">
      <w:pPr>
        <w:pStyle w:val="ListParagraph"/>
        <w:numPr>
          <w:ilvl w:val="0"/>
          <w:numId w:val="4"/>
        </w:numPr>
        <w:tabs>
          <w:tab w:val="left" w:pos="934"/>
        </w:tabs>
        <w:ind w:left="934"/>
        <w:jc w:val="both"/>
        <w:rPr>
          <w:sz w:val="24"/>
        </w:rPr>
      </w:pPr>
      <w:bookmarkStart w:id="90" w:name="_bookmark90"/>
      <w:bookmarkEnd w:id="90"/>
      <w:r>
        <w:rPr>
          <w:sz w:val="24"/>
        </w:rPr>
        <w:t>MedlinePlus.</w:t>
      </w:r>
    </w:p>
    <w:p w:rsidR="00B0268C" w:rsidRDefault="00C408FB">
      <w:pPr>
        <w:pStyle w:val="ListParagraph"/>
        <w:numPr>
          <w:ilvl w:val="0"/>
          <w:numId w:val="4"/>
        </w:numPr>
        <w:tabs>
          <w:tab w:val="left" w:pos="934"/>
        </w:tabs>
        <w:ind w:right="269" w:firstLine="0"/>
        <w:jc w:val="both"/>
        <w:rPr>
          <w:sz w:val="24"/>
        </w:rPr>
      </w:pPr>
      <w:bookmarkStart w:id="91" w:name="_bookmark91"/>
      <w:bookmarkEnd w:id="91"/>
      <w:r>
        <w:rPr>
          <w:sz w:val="24"/>
        </w:rPr>
        <w:t xml:space="preserve">Investigators IS, </w:t>
      </w:r>
      <w:proofErr w:type="spellStart"/>
      <w:r>
        <w:rPr>
          <w:sz w:val="24"/>
        </w:rPr>
        <w:t>Chakravarthy</w:t>
      </w:r>
      <w:proofErr w:type="spellEnd"/>
      <w:r>
        <w:rPr>
          <w:sz w:val="24"/>
        </w:rPr>
        <w:t xml:space="preserve"> U, Harding SP, Rogers CA, </w:t>
      </w:r>
      <w:proofErr w:type="spellStart"/>
      <w:r>
        <w:rPr>
          <w:sz w:val="24"/>
        </w:rPr>
        <w:t>Downes</w:t>
      </w:r>
      <w:proofErr w:type="spellEnd"/>
      <w:r>
        <w:rPr>
          <w:sz w:val="24"/>
        </w:rPr>
        <w:t xml:space="preserve"> SM, </w:t>
      </w:r>
      <w:proofErr w:type="spellStart"/>
      <w:r>
        <w:rPr>
          <w:sz w:val="24"/>
        </w:rPr>
        <w:t>Lotery</w:t>
      </w:r>
      <w:proofErr w:type="spellEnd"/>
      <w:r>
        <w:rPr>
          <w:sz w:val="24"/>
        </w:rPr>
        <w:t xml:space="preserve"> AJ, et al. Ranibizumab versus bevacizumab to treat </w:t>
      </w:r>
      <w:proofErr w:type="spellStart"/>
      <w:r>
        <w:rPr>
          <w:sz w:val="24"/>
        </w:rPr>
        <w:t>neovascular</w:t>
      </w:r>
      <w:proofErr w:type="spellEnd"/>
      <w:r>
        <w:rPr>
          <w:sz w:val="24"/>
        </w:rPr>
        <w:t xml:space="preserve"> age-related macular degeneration: one-year findings from the IVAN randomized trial. </w:t>
      </w:r>
      <w:r>
        <w:rPr>
          <w:i/>
          <w:sz w:val="24"/>
        </w:rPr>
        <w:t>Ophthalmology</w:t>
      </w:r>
      <w:r>
        <w:rPr>
          <w:sz w:val="24"/>
        </w:rPr>
        <w:t>. 2012</w:t>
      </w:r>
      <w:proofErr w:type="gramStart"/>
      <w:r>
        <w:rPr>
          <w:sz w:val="24"/>
        </w:rPr>
        <w:t>;119</w:t>
      </w:r>
      <w:proofErr w:type="gramEnd"/>
      <w:r>
        <w:rPr>
          <w:sz w:val="24"/>
        </w:rPr>
        <w:t>(7):1399-411.</w:t>
      </w:r>
    </w:p>
    <w:p w:rsidR="00B0268C" w:rsidRDefault="00C408FB">
      <w:pPr>
        <w:pStyle w:val="ListParagraph"/>
        <w:numPr>
          <w:ilvl w:val="0"/>
          <w:numId w:val="4"/>
        </w:numPr>
        <w:tabs>
          <w:tab w:val="left" w:pos="934"/>
        </w:tabs>
        <w:ind w:right="270" w:firstLine="0"/>
        <w:jc w:val="both"/>
        <w:rPr>
          <w:sz w:val="24"/>
        </w:rPr>
      </w:pPr>
      <w:bookmarkStart w:id="92" w:name="_bookmark92"/>
      <w:bookmarkEnd w:id="92"/>
      <w:r>
        <w:rPr>
          <w:sz w:val="24"/>
        </w:rPr>
        <w:t xml:space="preserve">Comparison of Age-related Macular Degeneration Treatments Trials Research G, Martin DF, Maguire MG, Fine SL, Ying GS, Jaffe GJ, et al. Ranibizumab and bevacizumab for treatment of </w:t>
      </w:r>
      <w:proofErr w:type="spellStart"/>
      <w:r>
        <w:rPr>
          <w:sz w:val="24"/>
        </w:rPr>
        <w:t>neovascular</w:t>
      </w:r>
      <w:proofErr w:type="spellEnd"/>
      <w:r>
        <w:rPr>
          <w:sz w:val="24"/>
        </w:rPr>
        <w:t xml:space="preserve"> age-related macular degeneration: two-year results. </w:t>
      </w:r>
      <w:r>
        <w:rPr>
          <w:i/>
          <w:sz w:val="24"/>
        </w:rPr>
        <w:t>Ophthalmology</w:t>
      </w:r>
      <w:r>
        <w:rPr>
          <w:sz w:val="24"/>
        </w:rPr>
        <w:t>.</w:t>
      </w:r>
      <w:r>
        <w:rPr>
          <w:spacing w:val="-1"/>
          <w:sz w:val="24"/>
        </w:rPr>
        <w:t xml:space="preserve"> </w:t>
      </w:r>
      <w:r>
        <w:rPr>
          <w:sz w:val="24"/>
        </w:rPr>
        <w:t>2012</w:t>
      </w:r>
      <w:proofErr w:type="gramStart"/>
      <w:r>
        <w:rPr>
          <w:sz w:val="24"/>
        </w:rPr>
        <w:t>;119</w:t>
      </w:r>
      <w:proofErr w:type="gramEnd"/>
      <w:r>
        <w:rPr>
          <w:sz w:val="24"/>
        </w:rPr>
        <w:t>(7):1388-98.</w:t>
      </w:r>
    </w:p>
    <w:p w:rsidR="00B0268C" w:rsidRDefault="00C408FB">
      <w:pPr>
        <w:pStyle w:val="ListParagraph"/>
        <w:numPr>
          <w:ilvl w:val="0"/>
          <w:numId w:val="4"/>
        </w:numPr>
        <w:tabs>
          <w:tab w:val="left" w:pos="934"/>
        </w:tabs>
        <w:ind w:right="279" w:firstLine="0"/>
        <w:jc w:val="both"/>
        <w:rPr>
          <w:sz w:val="24"/>
        </w:rPr>
      </w:pPr>
      <w:bookmarkStart w:id="93" w:name="_bookmark93"/>
      <w:bookmarkEnd w:id="93"/>
      <w:r>
        <w:rPr>
          <w:sz w:val="24"/>
        </w:rPr>
        <w:t>NICE FAD: Ranibizumab for treating visual impairment caused by macular oedema secondary to retinal vein occlusion 2013</w:t>
      </w:r>
      <w:r>
        <w:rPr>
          <w:spacing w:val="-4"/>
          <w:sz w:val="24"/>
        </w:rPr>
        <w:t xml:space="preserve"> </w:t>
      </w:r>
      <w:r>
        <w:rPr>
          <w:sz w:val="24"/>
        </w:rPr>
        <w:t>[27-05-13].</w:t>
      </w:r>
    </w:p>
    <w:p w:rsidR="00B0268C" w:rsidRDefault="00C408FB">
      <w:pPr>
        <w:pStyle w:val="ListParagraph"/>
        <w:numPr>
          <w:ilvl w:val="0"/>
          <w:numId w:val="4"/>
        </w:numPr>
        <w:tabs>
          <w:tab w:val="left" w:pos="934"/>
        </w:tabs>
        <w:spacing w:before="1"/>
        <w:ind w:right="278" w:firstLine="0"/>
        <w:jc w:val="both"/>
        <w:rPr>
          <w:sz w:val="24"/>
        </w:rPr>
      </w:pPr>
      <w:bookmarkStart w:id="94" w:name="_bookmark94"/>
      <w:bookmarkEnd w:id="94"/>
      <w:r>
        <w:rPr>
          <w:sz w:val="24"/>
        </w:rPr>
        <w:t xml:space="preserve">White IR, Horton NJ, Carpenter J, </w:t>
      </w:r>
      <w:proofErr w:type="spellStart"/>
      <w:r>
        <w:rPr>
          <w:sz w:val="24"/>
        </w:rPr>
        <w:t>Pocock</w:t>
      </w:r>
      <w:proofErr w:type="spellEnd"/>
      <w:r>
        <w:rPr>
          <w:sz w:val="24"/>
        </w:rPr>
        <w:t xml:space="preserve"> SJ. Strategy for intention to treat analysis in randomised trials with missing outcome data. </w:t>
      </w:r>
      <w:r>
        <w:rPr>
          <w:i/>
          <w:sz w:val="24"/>
        </w:rPr>
        <w:t>BMJ</w:t>
      </w:r>
      <w:r>
        <w:rPr>
          <w:sz w:val="24"/>
        </w:rPr>
        <w:t>.</w:t>
      </w:r>
      <w:r>
        <w:rPr>
          <w:spacing w:val="-4"/>
          <w:sz w:val="24"/>
        </w:rPr>
        <w:t xml:space="preserve"> </w:t>
      </w:r>
      <w:r>
        <w:rPr>
          <w:sz w:val="24"/>
        </w:rPr>
        <w:t>2011</w:t>
      </w:r>
      <w:proofErr w:type="gramStart"/>
      <w:r>
        <w:rPr>
          <w:sz w:val="24"/>
        </w:rPr>
        <w:t>;342:d40</w:t>
      </w:r>
      <w:proofErr w:type="gramEnd"/>
      <w:r>
        <w:rPr>
          <w:sz w:val="24"/>
        </w:rPr>
        <w:t>.</w:t>
      </w:r>
    </w:p>
    <w:p w:rsidR="00B0268C" w:rsidRDefault="00C408FB">
      <w:pPr>
        <w:pStyle w:val="ListParagraph"/>
        <w:numPr>
          <w:ilvl w:val="0"/>
          <w:numId w:val="4"/>
        </w:numPr>
        <w:tabs>
          <w:tab w:val="left" w:pos="934"/>
        </w:tabs>
        <w:ind w:right="269" w:firstLine="0"/>
        <w:jc w:val="both"/>
        <w:rPr>
          <w:sz w:val="24"/>
        </w:rPr>
      </w:pPr>
      <w:bookmarkStart w:id="95" w:name="_bookmark95"/>
      <w:bookmarkEnd w:id="95"/>
      <w:proofErr w:type="spellStart"/>
      <w:r>
        <w:rPr>
          <w:sz w:val="24"/>
        </w:rPr>
        <w:t>D'Agostino</w:t>
      </w:r>
      <w:proofErr w:type="spellEnd"/>
      <w:r>
        <w:rPr>
          <w:sz w:val="24"/>
        </w:rPr>
        <w:t xml:space="preserve"> RB, Sr., </w:t>
      </w:r>
      <w:proofErr w:type="spellStart"/>
      <w:r>
        <w:rPr>
          <w:sz w:val="24"/>
        </w:rPr>
        <w:t>Massaro</w:t>
      </w:r>
      <w:proofErr w:type="spellEnd"/>
      <w:r>
        <w:rPr>
          <w:sz w:val="24"/>
        </w:rPr>
        <w:t xml:space="preserve"> JM, Sullivan LM. Non-inferiority trials: design concepts and issues - the encounters of academic consultants in statistics. </w:t>
      </w:r>
      <w:r>
        <w:rPr>
          <w:i/>
          <w:sz w:val="24"/>
        </w:rPr>
        <w:t>Stat Med</w:t>
      </w:r>
      <w:r>
        <w:rPr>
          <w:sz w:val="24"/>
        </w:rPr>
        <w:t>. 2003</w:t>
      </w:r>
      <w:proofErr w:type="gramStart"/>
      <w:r>
        <w:rPr>
          <w:sz w:val="24"/>
        </w:rPr>
        <w:t>;22</w:t>
      </w:r>
      <w:proofErr w:type="gramEnd"/>
      <w:r>
        <w:rPr>
          <w:sz w:val="24"/>
        </w:rPr>
        <w:t>(2):169-86.</w:t>
      </w:r>
    </w:p>
    <w:p w:rsidR="00B0268C" w:rsidRDefault="00C408FB">
      <w:pPr>
        <w:pStyle w:val="ListParagraph"/>
        <w:numPr>
          <w:ilvl w:val="0"/>
          <w:numId w:val="4"/>
        </w:numPr>
        <w:tabs>
          <w:tab w:val="left" w:pos="934"/>
        </w:tabs>
        <w:ind w:right="277" w:firstLine="0"/>
        <w:jc w:val="both"/>
        <w:rPr>
          <w:sz w:val="24"/>
        </w:rPr>
      </w:pPr>
      <w:bookmarkStart w:id="96" w:name="_bookmark96"/>
      <w:bookmarkEnd w:id="96"/>
      <w:proofErr w:type="spellStart"/>
      <w:r>
        <w:rPr>
          <w:sz w:val="24"/>
        </w:rPr>
        <w:t>Campochiaro</w:t>
      </w:r>
      <w:proofErr w:type="spellEnd"/>
      <w:r>
        <w:rPr>
          <w:sz w:val="24"/>
        </w:rPr>
        <w:t xml:space="preserve"> PA, Brown DM, </w:t>
      </w:r>
      <w:proofErr w:type="spellStart"/>
      <w:r>
        <w:rPr>
          <w:sz w:val="24"/>
        </w:rPr>
        <w:t>Awh</w:t>
      </w:r>
      <w:proofErr w:type="spellEnd"/>
      <w:r>
        <w:rPr>
          <w:sz w:val="24"/>
        </w:rPr>
        <w:t xml:space="preserve"> CC, Lee SY, </w:t>
      </w:r>
      <w:proofErr w:type="spellStart"/>
      <w:r>
        <w:rPr>
          <w:sz w:val="24"/>
        </w:rPr>
        <w:t>Gray</w:t>
      </w:r>
      <w:proofErr w:type="spellEnd"/>
      <w:r>
        <w:rPr>
          <w:sz w:val="24"/>
        </w:rPr>
        <w:t xml:space="preserve"> S, </w:t>
      </w:r>
      <w:proofErr w:type="spellStart"/>
      <w:proofErr w:type="gramStart"/>
      <w:r>
        <w:rPr>
          <w:sz w:val="24"/>
        </w:rPr>
        <w:t>Saroj</w:t>
      </w:r>
      <w:proofErr w:type="spellEnd"/>
      <w:proofErr w:type="gramEnd"/>
      <w:r>
        <w:rPr>
          <w:sz w:val="24"/>
        </w:rPr>
        <w:t xml:space="preserve"> N, et al. Sustained benefits from </w:t>
      </w:r>
      <w:proofErr w:type="spellStart"/>
      <w:r>
        <w:rPr>
          <w:sz w:val="24"/>
        </w:rPr>
        <w:t>ranibizumab</w:t>
      </w:r>
      <w:proofErr w:type="spellEnd"/>
      <w:r>
        <w:rPr>
          <w:sz w:val="24"/>
        </w:rPr>
        <w:t xml:space="preserve"> for macular </w:t>
      </w:r>
      <w:proofErr w:type="spellStart"/>
      <w:r>
        <w:rPr>
          <w:sz w:val="24"/>
        </w:rPr>
        <w:t>edema</w:t>
      </w:r>
      <w:proofErr w:type="spellEnd"/>
      <w:r>
        <w:rPr>
          <w:sz w:val="24"/>
        </w:rPr>
        <w:t xml:space="preserve"> following central retinal vein occlusion: twelve-month outcomes of a phase III study. </w:t>
      </w:r>
      <w:r>
        <w:rPr>
          <w:i/>
          <w:sz w:val="24"/>
        </w:rPr>
        <w:t>Ophthalmology</w:t>
      </w:r>
      <w:r>
        <w:rPr>
          <w:sz w:val="24"/>
        </w:rPr>
        <w:t>.</w:t>
      </w:r>
      <w:r>
        <w:rPr>
          <w:spacing w:val="-2"/>
          <w:sz w:val="24"/>
        </w:rPr>
        <w:t xml:space="preserve"> </w:t>
      </w:r>
      <w:r>
        <w:rPr>
          <w:sz w:val="24"/>
        </w:rPr>
        <w:t>2011</w:t>
      </w:r>
      <w:proofErr w:type="gramStart"/>
      <w:r>
        <w:rPr>
          <w:sz w:val="24"/>
        </w:rPr>
        <w:t>;118</w:t>
      </w:r>
      <w:proofErr w:type="gramEnd"/>
      <w:r>
        <w:rPr>
          <w:sz w:val="24"/>
        </w:rPr>
        <w:t>(10):2041-9.</w:t>
      </w:r>
    </w:p>
    <w:p w:rsidR="00B0268C" w:rsidRDefault="00C408FB">
      <w:pPr>
        <w:pStyle w:val="ListParagraph"/>
        <w:numPr>
          <w:ilvl w:val="0"/>
          <w:numId w:val="4"/>
        </w:numPr>
        <w:tabs>
          <w:tab w:val="left" w:pos="934"/>
        </w:tabs>
        <w:ind w:right="269" w:firstLine="0"/>
        <w:jc w:val="both"/>
        <w:rPr>
          <w:sz w:val="24"/>
        </w:rPr>
      </w:pPr>
      <w:bookmarkStart w:id="97" w:name="_bookmark97"/>
      <w:bookmarkEnd w:id="97"/>
      <w:proofErr w:type="spellStart"/>
      <w:r>
        <w:rPr>
          <w:sz w:val="24"/>
        </w:rPr>
        <w:t>Mangione</w:t>
      </w:r>
      <w:proofErr w:type="spellEnd"/>
      <w:r>
        <w:rPr>
          <w:sz w:val="24"/>
        </w:rPr>
        <w:t xml:space="preserve"> CM, Lee PP, Gutierrez PR, Spritzer K, Berry S, Hays RD. Development  of the 25-item National Eye Institute Visual Function Questionnaire. </w:t>
      </w:r>
      <w:r>
        <w:rPr>
          <w:i/>
          <w:sz w:val="24"/>
        </w:rPr>
        <w:t xml:space="preserve">Arch </w:t>
      </w:r>
      <w:proofErr w:type="spellStart"/>
      <w:r>
        <w:rPr>
          <w:i/>
          <w:sz w:val="24"/>
        </w:rPr>
        <w:t>Ophthalmol</w:t>
      </w:r>
      <w:proofErr w:type="spellEnd"/>
      <w:r>
        <w:rPr>
          <w:sz w:val="24"/>
        </w:rPr>
        <w:t>. 2001</w:t>
      </w:r>
      <w:proofErr w:type="gramStart"/>
      <w:r>
        <w:rPr>
          <w:sz w:val="24"/>
        </w:rPr>
        <w:t>;119</w:t>
      </w:r>
      <w:proofErr w:type="gramEnd"/>
      <w:r>
        <w:rPr>
          <w:sz w:val="24"/>
        </w:rPr>
        <w:t>(7):1050-8.</w:t>
      </w:r>
    </w:p>
    <w:p w:rsidR="00B0268C" w:rsidRDefault="00C408FB">
      <w:pPr>
        <w:pStyle w:val="ListParagraph"/>
        <w:numPr>
          <w:ilvl w:val="0"/>
          <w:numId w:val="4"/>
        </w:numPr>
        <w:tabs>
          <w:tab w:val="left" w:pos="934"/>
        </w:tabs>
        <w:ind w:right="269" w:firstLine="0"/>
        <w:jc w:val="both"/>
        <w:rPr>
          <w:sz w:val="24"/>
        </w:rPr>
      </w:pPr>
      <w:bookmarkStart w:id="98" w:name="_bookmark98"/>
      <w:bookmarkEnd w:id="98"/>
      <w:r>
        <w:rPr>
          <w:sz w:val="24"/>
        </w:rPr>
        <w:t xml:space="preserve">Janssen MF, </w:t>
      </w:r>
      <w:proofErr w:type="spellStart"/>
      <w:r>
        <w:rPr>
          <w:sz w:val="24"/>
        </w:rPr>
        <w:t>Birnie</w:t>
      </w:r>
      <w:proofErr w:type="spellEnd"/>
      <w:r>
        <w:rPr>
          <w:sz w:val="24"/>
        </w:rPr>
        <w:t xml:space="preserve"> E, </w:t>
      </w:r>
      <w:proofErr w:type="spellStart"/>
      <w:r>
        <w:rPr>
          <w:sz w:val="24"/>
        </w:rPr>
        <w:t>Bonsel</w:t>
      </w:r>
      <w:proofErr w:type="spellEnd"/>
      <w:r>
        <w:rPr>
          <w:sz w:val="24"/>
        </w:rPr>
        <w:t xml:space="preserve"> GJ. Quantification of the level descriptors for the standard EQ-5D three-level system and a five-level version according to two methods. </w:t>
      </w:r>
      <w:proofErr w:type="spellStart"/>
      <w:r>
        <w:rPr>
          <w:i/>
          <w:sz w:val="24"/>
        </w:rPr>
        <w:t>Qual</w:t>
      </w:r>
      <w:proofErr w:type="spellEnd"/>
      <w:r>
        <w:rPr>
          <w:i/>
          <w:sz w:val="24"/>
        </w:rPr>
        <w:t xml:space="preserve"> Life Res</w:t>
      </w:r>
      <w:r>
        <w:rPr>
          <w:sz w:val="24"/>
        </w:rPr>
        <w:t>.</w:t>
      </w:r>
      <w:r>
        <w:rPr>
          <w:spacing w:val="-2"/>
          <w:sz w:val="24"/>
        </w:rPr>
        <w:t xml:space="preserve"> </w:t>
      </w:r>
      <w:r>
        <w:rPr>
          <w:sz w:val="24"/>
        </w:rPr>
        <w:t>2008</w:t>
      </w:r>
      <w:proofErr w:type="gramStart"/>
      <w:r>
        <w:rPr>
          <w:sz w:val="24"/>
        </w:rPr>
        <w:t>;17</w:t>
      </w:r>
      <w:proofErr w:type="gramEnd"/>
      <w:r>
        <w:rPr>
          <w:sz w:val="24"/>
        </w:rPr>
        <w:t>(3):463-73.</w:t>
      </w:r>
    </w:p>
    <w:p w:rsidR="00B0268C" w:rsidRDefault="00C408FB">
      <w:pPr>
        <w:pStyle w:val="ListParagraph"/>
        <w:numPr>
          <w:ilvl w:val="0"/>
          <w:numId w:val="4"/>
        </w:numPr>
        <w:tabs>
          <w:tab w:val="left" w:pos="934"/>
        </w:tabs>
        <w:ind w:right="268" w:firstLine="0"/>
        <w:jc w:val="both"/>
        <w:rPr>
          <w:sz w:val="24"/>
        </w:rPr>
      </w:pPr>
      <w:r>
        <w:rPr>
          <w:sz w:val="24"/>
        </w:rPr>
        <w:t xml:space="preserve">van </w:t>
      </w:r>
      <w:proofErr w:type="spellStart"/>
      <w:r>
        <w:rPr>
          <w:sz w:val="24"/>
        </w:rPr>
        <w:t>Hout</w:t>
      </w:r>
      <w:proofErr w:type="spellEnd"/>
      <w:r>
        <w:rPr>
          <w:sz w:val="24"/>
        </w:rPr>
        <w:t xml:space="preserve"> B, Janssen MF, Feng YS, </w:t>
      </w:r>
      <w:proofErr w:type="spellStart"/>
      <w:r>
        <w:rPr>
          <w:sz w:val="24"/>
        </w:rPr>
        <w:t>Kohlmann</w:t>
      </w:r>
      <w:proofErr w:type="spellEnd"/>
      <w:r>
        <w:rPr>
          <w:sz w:val="24"/>
        </w:rPr>
        <w:t xml:space="preserve"> T, </w:t>
      </w:r>
      <w:proofErr w:type="spellStart"/>
      <w:r>
        <w:rPr>
          <w:sz w:val="24"/>
        </w:rPr>
        <w:t>Busschbach</w:t>
      </w:r>
      <w:proofErr w:type="spellEnd"/>
      <w:r>
        <w:rPr>
          <w:sz w:val="24"/>
        </w:rPr>
        <w:t xml:space="preserve"> J, </w:t>
      </w:r>
      <w:proofErr w:type="spellStart"/>
      <w:r>
        <w:rPr>
          <w:sz w:val="24"/>
        </w:rPr>
        <w:t>Golicki</w:t>
      </w:r>
      <w:proofErr w:type="spellEnd"/>
      <w:r>
        <w:rPr>
          <w:sz w:val="24"/>
        </w:rPr>
        <w:t xml:space="preserve"> D, et al. Interim scoring for the EQ-5D-5L: mapping the EQ-5D-5L to EQ-5D-3L value sets. </w:t>
      </w:r>
      <w:r>
        <w:rPr>
          <w:i/>
          <w:sz w:val="24"/>
        </w:rPr>
        <w:t>Value Health</w:t>
      </w:r>
      <w:r>
        <w:rPr>
          <w:sz w:val="24"/>
        </w:rPr>
        <w:t>. 2012</w:t>
      </w:r>
      <w:proofErr w:type="gramStart"/>
      <w:r>
        <w:rPr>
          <w:sz w:val="24"/>
        </w:rPr>
        <w:t>;15</w:t>
      </w:r>
      <w:proofErr w:type="gramEnd"/>
      <w:r>
        <w:rPr>
          <w:sz w:val="24"/>
        </w:rPr>
        <w:t>(5):708-15.</w:t>
      </w:r>
    </w:p>
    <w:p w:rsidR="00B0268C" w:rsidRDefault="00C408FB">
      <w:pPr>
        <w:pStyle w:val="ListParagraph"/>
        <w:numPr>
          <w:ilvl w:val="0"/>
          <w:numId w:val="4"/>
        </w:numPr>
        <w:tabs>
          <w:tab w:val="left" w:pos="934"/>
        </w:tabs>
        <w:ind w:right="273" w:firstLine="0"/>
        <w:jc w:val="both"/>
        <w:rPr>
          <w:sz w:val="24"/>
        </w:rPr>
      </w:pPr>
      <w:r>
        <w:rPr>
          <w:sz w:val="24"/>
        </w:rPr>
        <w:t xml:space="preserve">Longworth </w:t>
      </w:r>
      <w:r>
        <w:rPr>
          <w:spacing w:val="-3"/>
          <w:sz w:val="24"/>
        </w:rPr>
        <w:t xml:space="preserve">L, </w:t>
      </w:r>
      <w:r>
        <w:rPr>
          <w:sz w:val="24"/>
        </w:rPr>
        <w:t xml:space="preserve">Yang Y, Young T, </w:t>
      </w:r>
      <w:proofErr w:type="spellStart"/>
      <w:r>
        <w:rPr>
          <w:sz w:val="24"/>
        </w:rPr>
        <w:t>Mulhern</w:t>
      </w:r>
      <w:proofErr w:type="spellEnd"/>
      <w:r>
        <w:rPr>
          <w:sz w:val="24"/>
        </w:rPr>
        <w:t xml:space="preserve"> B, Hernandez Alava M, </w:t>
      </w:r>
      <w:proofErr w:type="spellStart"/>
      <w:r>
        <w:rPr>
          <w:sz w:val="24"/>
        </w:rPr>
        <w:t>Mukuria</w:t>
      </w:r>
      <w:proofErr w:type="spellEnd"/>
      <w:r>
        <w:rPr>
          <w:sz w:val="24"/>
        </w:rPr>
        <w:t xml:space="preserve"> C, et al. Use of generic and condition-specific measures of health-related quality of life in NICE decision-making: a systematic review, statistical modelling and survey. </w:t>
      </w:r>
      <w:r>
        <w:rPr>
          <w:i/>
          <w:sz w:val="24"/>
        </w:rPr>
        <w:t xml:space="preserve">Health </w:t>
      </w:r>
      <w:proofErr w:type="spellStart"/>
      <w:r>
        <w:rPr>
          <w:i/>
          <w:sz w:val="24"/>
        </w:rPr>
        <w:t>Technol</w:t>
      </w:r>
      <w:proofErr w:type="spellEnd"/>
      <w:r>
        <w:rPr>
          <w:i/>
          <w:sz w:val="24"/>
        </w:rPr>
        <w:t xml:space="preserve"> Assess</w:t>
      </w:r>
      <w:r>
        <w:rPr>
          <w:sz w:val="24"/>
        </w:rPr>
        <w:t>.</w:t>
      </w:r>
      <w:r>
        <w:rPr>
          <w:spacing w:val="-1"/>
          <w:sz w:val="24"/>
        </w:rPr>
        <w:t xml:space="preserve"> </w:t>
      </w:r>
      <w:r>
        <w:rPr>
          <w:sz w:val="24"/>
        </w:rPr>
        <w:t>2014</w:t>
      </w:r>
      <w:proofErr w:type="gramStart"/>
      <w:r>
        <w:rPr>
          <w:sz w:val="24"/>
        </w:rPr>
        <w:t>;18</w:t>
      </w:r>
      <w:proofErr w:type="gramEnd"/>
      <w:r>
        <w:rPr>
          <w:sz w:val="24"/>
        </w:rPr>
        <w:t>(9):1-224.</w:t>
      </w:r>
    </w:p>
    <w:p w:rsidR="00B0268C" w:rsidRDefault="00B0268C">
      <w:pPr>
        <w:jc w:val="both"/>
        <w:rPr>
          <w:sz w:val="24"/>
        </w:rPr>
        <w:sectPr w:rsidR="00B0268C">
          <w:pgSz w:w="11910" w:h="16840"/>
          <w:pgMar w:top="1040" w:right="1200" w:bottom="1640" w:left="1260" w:header="712" w:footer="1442" w:gutter="0"/>
          <w:cols w:space="720"/>
        </w:sectPr>
      </w:pPr>
    </w:p>
    <w:p w:rsidR="00B0268C" w:rsidRDefault="00C408FB">
      <w:pPr>
        <w:pStyle w:val="ListParagraph"/>
        <w:numPr>
          <w:ilvl w:val="0"/>
          <w:numId w:val="4"/>
        </w:numPr>
        <w:tabs>
          <w:tab w:val="left" w:pos="934"/>
        </w:tabs>
        <w:spacing w:before="81"/>
        <w:ind w:right="276" w:firstLine="0"/>
        <w:jc w:val="both"/>
        <w:rPr>
          <w:sz w:val="24"/>
        </w:rPr>
      </w:pPr>
      <w:bookmarkStart w:id="99" w:name="_bookmark99"/>
      <w:bookmarkEnd w:id="99"/>
      <w:r>
        <w:rPr>
          <w:sz w:val="24"/>
        </w:rPr>
        <w:lastRenderedPageBreak/>
        <w:t xml:space="preserve">Carpenter J, </w:t>
      </w:r>
      <w:proofErr w:type="spellStart"/>
      <w:r>
        <w:rPr>
          <w:sz w:val="24"/>
        </w:rPr>
        <w:t>Bithell</w:t>
      </w:r>
      <w:proofErr w:type="spellEnd"/>
      <w:r>
        <w:rPr>
          <w:sz w:val="24"/>
        </w:rPr>
        <w:t xml:space="preserve"> J. Bootstrap confidence intervals: when, which, what? A practical guide for medical statisticians. </w:t>
      </w:r>
      <w:r>
        <w:rPr>
          <w:i/>
          <w:sz w:val="24"/>
        </w:rPr>
        <w:t>Stat Med</w:t>
      </w:r>
      <w:r>
        <w:rPr>
          <w:sz w:val="24"/>
        </w:rPr>
        <w:t>. 2000</w:t>
      </w:r>
      <w:proofErr w:type="gramStart"/>
      <w:r>
        <w:rPr>
          <w:sz w:val="24"/>
        </w:rPr>
        <w:t>;19</w:t>
      </w:r>
      <w:proofErr w:type="gramEnd"/>
      <w:r>
        <w:rPr>
          <w:sz w:val="24"/>
        </w:rPr>
        <w:t>(9):1141-64.</w:t>
      </w:r>
    </w:p>
    <w:p w:rsidR="00B0268C" w:rsidRDefault="00C408FB">
      <w:pPr>
        <w:pStyle w:val="ListParagraph"/>
        <w:numPr>
          <w:ilvl w:val="0"/>
          <w:numId w:val="4"/>
        </w:numPr>
        <w:tabs>
          <w:tab w:val="left" w:pos="934"/>
        </w:tabs>
        <w:ind w:right="272" w:firstLine="0"/>
        <w:jc w:val="both"/>
        <w:rPr>
          <w:sz w:val="24"/>
        </w:rPr>
      </w:pPr>
      <w:bookmarkStart w:id="100" w:name="_bookmark100"/>
      <w:bookmarkEnd w:id="100"/>
      <w:r>
        <w:rPr>
          <w:sz w:val="24"/>
        </w:rPr>
        <w:t xml:space="preserve">White IR, Thompson SG. Adjusting for partially missing baseline measurements in randomized trials. </w:t>
      </w:r>
      <w:r>
        <w:rPr>
          <w:i/>
          <w:sz w:val="24"/>
        </w:rPr>
        <w:t>Stat Med</w:t>
      </w:r>
      <w:r>
        <w:rPr>
          <w:sz w:val="24"/>
        </w:rPr>
        <w:t>. 2005</w:t>
      </w:r>
      <w:proofErr w:type="gramStart"/>
      <w:r>
        <w:rPr>
          <w:sz w:val="24"/>
        </w:rPr>
        <w:t>;24</w:t>
      </w:r>
      <w:proofErr w:type="gramEnd"/>
      <w:r>
        <w:rPr>
          <w:sz w:val="24"/>
        </w:rPr>
        <w:t>(7):993-1007.</w:t>
      </w:r>
    </w:p>
    <w:p w:rsidR="00B0268C" w:rsidRDefault="00C408FB">
      <w:pPr>
        <w:pStyle w:val="ListParagraph"/>
        <w:numPr>
          <w:ilvl w:val="0"/>
          <w:numId w:val="4"/>
        </w:numPr>
        <w:tabs>
          <w:tab w:val="left" w:pos="934"/>
        </w:tabs>
        <w:ind w:right="269" w:firstLine="0"/>
        <w:jc w:val="both"/>
        <w:rPr>
          <w:sz w:val="24"/>
        </w:rPr>
      </w:pPr>
      <w:bookmarkStart w:id="101" w:name="_bookmark101"/>
      <w:bookmarkEnd w:id="101"/>
      <w:proofErr w:type="spellStart"/>
      <w:r>
        <w:rPr>
          <w:sz w:val="24"/>
        </w:rPr>
        <w:t>Burzykowski</w:t>
      </w:r>
      <w:proofErr w:type="spellEnd"/>
      <w:r>
        <w:rPr>
          <w:sz w:val="24"/>
        </w:rPr>
        <w:t xml:space="preserve"> T, Carpenter J, </w:t>
      </w:r>
      <w:proofErr w:type="spellStart"/>
      <w:r>
        <w:rPr>
          <w:sz w:val="24"/>
        </w:rPr>
        <w:t>Coens</w:t>
      </w:r>
      <w:proofErr w:type="spellEnd"/>
      <w:r>
        <w:rPr>
          <w:sz w:val="24"/>
        </w:rPr>
        <w:t xml:space="preserve"> C, Evans D, France L, </w:t>
      </w:r>
      <w:proofErr w:type="spellStart"/>
      <w:proofErr w:type="gramStart"/>
      <w:r>
        <w:rPr>
          <w:sz w:val="24"/>
        </w:rPr>
        <w:t>Kenward</w:t>
      </w:r>
      <w:proofErr w:type="spellEnd"/>
      <w:proofErr w:type="gramEnd"/>
      <w:r>
        <w:rPr>
          <w:sz w:val="24"/>
        </w:rPr>
        <w:t xml:space="preserve"> M, et al. Missing data: discussion points from the PSI missing data expert group. </w:t>
      </w:r>
      <w:r>
        <w:rPr>
          <w:i/>
          <w:sz w:val="24"/>
        </w:rPr>
        <w:t>Pharm Stat</w:t>
      </w:r>
      <w:r>
        <w:rPr>
          <w:sz w:val="24"/>
        </w:rPr>
        <w:t>. 2010</w:t>
      </w:r>
      <w:proofErr w:type="gramStart"/>
      <w:r>
        <w:rPr>
          <w:sz w:val="24"/>
        </w:rPr>
        <w:t>;9</w:t>
      </w:r>
      <w:proofErr w:type="gramEnd"/>
      <w:r>
        <w:rPr>
          <w:sz w:val="24"/>
        </w:rPr>
        <w:t>(4):288-97.</w:t>
      </w:r>
    </w:p>
    <w:p w:rsidR="00B0268C" w:rsidRDefault="00C408FB">
      <w:pPr>
        <w:pStyle w:val="ListParagraph"/>
        <w:numPr>
          <w:ilvl w:val="0"/>
          <w:numId w:val="4"/>
        </w:numPr>
        <w:tabs>
          <w:tab w:val="left" w:pos="934"/>
        </w:tabs>
        <w:ind w:right="272" w:firstLine="0"/>
        <w:jc w:val="both"/>
        <w:rPr>
          <w:sz w:val="24"/>
        </w:rPr>
      </w:pPr>
      <w:bookmarkStart w:id="102" w:name="_bookmark102"/>
      <w:bookmarkEnd w:id="102"/>
      <w:r>
        <w:rPr>
          <w:sz w:val="24"/>
        </w:rPr>
        <w:t xml:space="preserve">White IR, </w:t>
      </w:r>
      <w:proofErr w:type="spellStart"/>
      <w:r>
        <w:rPr>
          <w:sz w:val="24"/>
        </w:rPr>
        <w:t>Kalaitzaki</w:t>
      </w:r>
      <w:proofErr w:type="spellEnd"/>
      <w:r>
        <w:rPr>
          <w:sz w:val="24"/>
        </w:rPr>
        <w:t xml:space="preserve"> E, Thompson SG. Allowing for missing outcome data and incomplete uptake of randomised interventions, with application to an Internet-based alcohol trial. </w:t>
      </w:r>
      <w:r>
        <w:rPr>
          <w:i/>
          <w:sz w:val="24"/>
        </w:rPr>
        <w:t>Stat Med</w:t>
      </w:r>
      <w:r>
        <w:rPr>
          <w:sz w:val="24"/>
        </w:rPr>
        <w:t>.</w:t>
      </w:r>
      <w:r>
        <w:rPr>
          <w:spacing w:val="-2"/>
          <w:sz w:val="24"/>
        </w:rPr>
        <w:t xml:space="preserve"> </w:t>
      </w:r>
      <w:r>
        <w:rPr>
          <w:sz w:val="24"/>
        </w:rPr>
        <w:t>2011</w:t>
      </w:r>
      <w:proofErr w:type="gramStart"/>
      <w:r>
        <w:rPr>
          <w:sz w:val="24"/>
        </w:rPr>
        <w:t>;30</w:t>
      </w:r>
      <w:proofErr w:type="gramEnd"/>
      <w:r>
        <w:rPr>
          <w:sz w:val="24"/>
        </w:rPr>
        <w:t>(27):3192-207.</w:t>
      </w:r>
    </w:p>
    <w:p w:rsidR="00B0268C" w:rsidRDefault="00C408FB">
      <w:pPr>
        <w:pStyle w:val="ListParagraph"/>
        <w:numPr>
          <w:ilvl w:val="0"/>
          <w:numId w:val="4"/>
        </w:numPr>
        <w:tabs>
          <w:tab w:val="left" w:pos="934"/>
        </w:tabs>
        <w:ind w:right="271" w:firstLine="0"/>
        <w:jc w:val="both"/>
        <w:rPr>
          <w:sz w:val="24"/>
        </w:rPr>
      </w:pPr>
      <w:bookmarkStart w:id="103" w:name="_bookmark103"/>
      <w:bookmarkEnd w:id="103"/>
      <w:r>
        <w:rPr>
          <w:sz w:val="24"/>
        </w:rPr>
        <w:t xml:space="preserve">White IR, Carpenter J, Horton NJ. Including all individuals </w:t>
      </w:r>
      <w:r>
        <w:rPr>
          <w:spacing w:val="3"/>
          <w:sz w:val="24"/>
        </w:rPr>
        <w:t xml:space="preserve">is </w:t>
      </w:r>
      <w:r>
        <w:rPr>
          <w:sz w:val="24"/>
        </w:rPr>
        <w:t xml:space="preserve">not enough: lessons for intention-to-treat analysis. </w:t>
      </w:r>
      <w:proofErr w:type="spellStart"/>
      <w:r>
        <w:rPr>
          <w:i/>
          <w:sz w:val="24"/>
        </w:rPr>
        <w:t>Clin</w:t>
      </w:r>
      <w:proofErr w:type="spellEnd"/>
      <w:r>
        <w:rPr>
          <w:i/>
          <w:sz w:val="24"/>
        </w:rPr>
        <w:t xml:space="preserve"> Trials</w:t>
      </w:r>
      <w:r>
        <w:rPr>
          <w:sz w:val="24"/>
        </w:rPr>
        <w:t>. 2012</w:t>
      </w:r>
      <w:proofErr w:type="gramStart"/>
      <w:r>
        <w:rPr>
          <w:sz w:val="24"/>
        </w:rPr>
        <w:t>;9</w:t>
      </w:r>
      <w:proofErr w:type="gramEnd"/>
      <w:r>
        <w:rPr>
          <w:sz w:val="24"/>
        </w:rPr>
        <w:t>(4):396-407.</w:t>
      </w:r>
    </w:p>
    <w:p w:rsidR="00B0268C" w:rsidRDefault="00B0268C">
      <w:pPr>
        <w:jc w:val="both"/>
        <w:rPr>
          <w:sz w:val="24"/>
        </w:rPr>
        <w:sectPr w:rsidR="00B0268C">
          <w:pgSz w:w="11910" w:h="16840"/>
          <w:pgMar w:top="1040" w:right="1200" w:bottom="1660" w:left="1260" w:header="712" w:footer="1442" w:gutter="0"/>
          <w:cols w:space="720"/>
        </w:sectPr>
      </w:pPr>
    </w:p>
    <w:p w:rsidR="00B0268C" w:rsidRDefault="00C408FB">
      <w:pPr>
        <w:pStyle w:val="Heading1"/>
      </w:pPr>
      <w:bookmarkStart w:id="104" w:name="_bookmark104"/>
      <w:bookmarkEnd w:id="104"/>
      <w:r>
        <w:lastRenderedPageBreak/>
        <w:t>Appendix I – Lists of Tables for DMC and for main trial</w:t>
      </w:r>
    </w:p>
    <w:p w:rsidR="00B0268C" w:rsidRDefault="00B0268C">
      <w:pPr>
        <w:pStyle w:val="BodyText"/>
        <w:spacing w:before="9"/>
        <w:rPr>
          <w:rFonts w:ascii="Arial"/>
          <w:b/>
          <w:sz w:val="27"/>
        </w:rPr>
      </w:pPr>
    </w:p>
    <w:p w:rsidR="00B0268C" w:rsidRDefault="00C408FB">
      <w:pPr>
        <w:pStyle w:val="BodyText"/>
        <w:ind w:left="214"/>
      </w:pPr>
      <w:r>
        <w:t>These are draft tables for the DMC meetings.</w:t>
      </w:r>
    </w:p>
    <w:p w:rsidR="00B0268C" w:rsidRDefault="00B0268C">
      <w:pPr>
        <w:pStyle w:val="BodyText"/>
        <w:spacing w:before="7"/>
        <w:rPr>
          <w:sz w:val="28"/>
        </w:rPr>
      </w:pPr>
    </w:p>
    <w:p w:rsidR="00B0268C" w:rsidRDefault="00C408FB">
      <w:pPr>
        <w:pStyle w:val="Heading2"/>
        <w:numPr>
          <w:ilvl w:val="1"/>
          <w:numId w:val="4"/>
        </w:numPr>
        <w:tabs>
          <w:tab w:val="left" w:pos="934"/>
        </w:tabs>
        <w:rPr>
          <w:rFonts w:ascii="Times New Roman"/>
        </w:rPr>
      </w:pPr>
      <w:r>
        <w:rPr>
          <w:rFonts w:ascii="Times New Roman"/>
        </w:rPr>
        <w:t>Recruitment by calendar month</w:t>
      </w:r>
    </w:p>
    <w:p w:rsidR="00B0268C" w:rsidRDefault="00B0268C">
      <w:pPr>
        <w:pStyle w:val="BodyText"/>
        <w:spacing w:before="2"/>
        <w:rPr>
          <w:b/>
          <w:sz w:val="21"/>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5"/>
        <w:gridCol w:w="922"/>
        <w:gridCol w:w="972"/>
        <w:gridCol w:w="972"/>
        <w:gridCol w:w="2727"/>
        <w:gridCol w:w="1020"/>
      </w:tblGrid>
      <w:tr w:rsidR="00B0268C">
        <w:trPr>
          <w:trHeight w:val="263"/>
        </w:trPr>
        <w:tc>
          <w:tcPr>
            <w:tcW w:w="1685" w:type="dxa"/>
            <w:shd w:val="clear" w:color="auto" w:fill="D9D9D9"/>
          </w:tcPr>
          <w:p w:rsidR="00B0268C" w:rsidRDefault="00C408FB">
            <w:pPr>
              <w:pStyle w:val="TableParagraph"/>
              <w:spacing w:line="244" w:lineRule="exact"/>
              <w:ind w:left="107"/>
              <w:rPr>
                <w:sz w:val="23"/>
              </w:rPr>
            </w:pPr>
            <w:r>
              <w:rPr>
                <w:sz w:val="23"/>
              </w:rPr>
              <w:t>Months:</w:t>
            </w:r>
          </w:p>
        </w:tc>
        <w:tc>
          <w:tcPr>
            <w:tcW w:w="922" w:type="dxa"/>
            <w:shd w:val="clear" w:color="auto" w:fill="D9D9D9"/>
          </w:tcPr>
          <w:p w:rsidR="00B0268C" w:rsidRDefault="00C408FB">
            <w:pPr>
              <w:pStyle w:val="TableParagraph"/>
              <w:spacing w:line="244" w:lineRule="exact"/>
              <w:ind w:left="193"/>
              <w:rPr>
                <w:sz w:val="23"/>
              </w:rPr>
            </w:pPr>
            <w:r>
              <w:rPr>
                <w:sz w:val="23"/>
              </w:rPr>
              <w:t>Site 1</w:t>
            </w:r>
          </w:p>
        </w:tc>
        <w:tc>
          <w:tcPr>
            <w:tcW w:w="972" w:type="dxa"/>
            <w:shd w:val="clear" w:color="auto" w:fill="D9D9D9"/>
          </w:tcPr>
          <w:p w:rsidR="00B0268C" w:rsidRDefault="00C408FB">
            <w:pPr>
              <w:pStyle w:val="TableParagraph"/>
              <w:spacing w:line="244" w:lineRule="exact"/>
              <w:ind w:left="220"/>
              <w:rPr>
                <w:sz w:val="23"/>
              </w:rPr>
            </w:pPr>
            <w:r>
              <w:rPr>
                <w:sz w:val="23"/>
              </w:rPr>
              <w:t>Site 2</w:t>
            </w:r>
          </w:p>
        </w:tc>
        <w:tc>
          <w:tcPr>
            <w:tcW w:w="972" w:type="dxa"/>
            <w:shd w:val="clear" w:color="auto" w:fill="D9D9D9"/>
          </w:tcPr>
          <w:p w:rsidR="00B0268C" w:rsidRDefault="00C408FB">
            <w:pPr>
              <w:pStyle w:val="TableParagraph"/>
              <w:spacing w:line="244" w:lineRule="exact"/>
              <w:ind w:left="220"/>
              <w:rPr>
                <w:sz w:val="23"/>
              </w:rPr>
            </w:pPr>
            <w:r>
              <w:rPr>
                <w:sz w:val="23"/>
              </w:rPr>
              <w:t>Site 3</w:t>
            </w:r>
          </w:p>
        </w:tc>
        <w:tc>
          <w:tcPr>
            <w:tcW w:w="2727" w:type="dxa"/>
            <w:shd w:val="clear" w:color="auto" w:fill="D9D9D9"/>
          </w:tcPr>
          <w:p w:rsidR="00B0268C" w:rsidRDefault="00C408FB">
            <w:pPr>
              <w:pStyle w:val="TableParagraph"/>
              <w:spacing w:line="244" w:lineRule="exact"/>
              <w:ind w:left="1151" w:right="1142"/>
              <w:jc w:val="center"/>
              <w:rPr>
                <w:sz w:val="23"/>
              </w:rPr>
            </w:pPr>
            <w:r>
              <w:rPr>
                <w:sz w:val="23"/>
              </w:rPr>
              <w:t>(…)</w:t>
            </w:r>
          </w:p>
        </w:tc>
        <w:tc>
          <w:tcPr>
            <w:tcW w:w="1020" w:type="dxa"/>
            <w:shd w:val="clear" w:color="auto" w:fill="D9D9D9"/>
          </w:tcPr>
          <w:p w:rsidR="00B0268C" w:rsidRDefault="00C408FB">
            <w:pPr>
              <w:pStyle w:val="TableParagraph"/>
              <w:spacing w:line="244" w:lineRule="exact"/>
              <w:ind w:left="187"/>
              <w:rPr>
                <w:sz w:val="23"/>
              </w:rPr>
            </w:pPr>
            <w:r>
              <w:rPr>
                <w:sz w:val="23"/>
              </w:rPr>
              <w:t>Site 40</w:t>
            </w:r>
          </w:p>
        </w:tc>
      </w:tr>
      <w:tr w:rsidR="00B0268C">
        <w:trPr>
          <w:trHeight w:val="787"/>
        </w:trPr>
        <w:tc>
          <w:tcPr>
            <w:tcW w:w="1685" w:type="dxa"/>
            <w:tcBorders>
              <w:bottom w:val="nil"/>
            </w:tcBorders>
          </w:tcPr>
          <w:p w:rsidR="00B0268C" w:rsidRDefault="00C408FB">
            <w:pPr>
              <w:pStyle w:val="TableParagraph"/>
              <w:spacing w:line="258" w:lineRule="exact"/>
              <w:ind w:left="107"/>
              <w:rPr>
                <w:sz w:val="23"/>
              </w:rPr>
            </w:pPr>
            <w:r>
              <w:rPr>
                <w:sz w:val="23"/>
              </w:rPr>
              <w:t>Dec 2014</w:t>
            </w:r>
          </w:p>
          <w:p w:rsidR="00B0268C" w:rsidRDefault="00C408FB">
            <w:pPr>
              <w:pStyle w:val="TableParagraph"/>
              <w:spacing w:line="264" w:lineRule="exact"/>
              <w:ind w:left="107"/>
              <w:rPr>
                <w:sz w:val="23"/>
              </w:rPr>
            </w:pPr>
            <w:r>
              <w:rPr>
                <w:sz w:val="23"/>
              </w:rPr>
              <w:t>Jan</w:t>
            </w:r>
            <w:r>
              <w:rPr>
                <w:spacing w:val="-1"/>
                <w:sz w:val="23"/>
              </w:rPr>
              <w:t xml:space="preserve"> </w:t>
            </w:r>
            <w:r>
              <w:rPr>
                <w:sz w:val="23"/>
              </w:rPr>
              <w:t>2015</w:t>
            </w:r>
          </w:p>
          <w:p w:rsidR="00B0268C" w:rsidRDefault="00C408FB">
            <w:pPr>
              <w:pStyle w:val="TableParagraph"/>
              <w:spacing w:line="245" w:lineRule="exact"/>
              <w:ind w:left="107"/>
              <w:rPr>
                <w:sz w:val="23"/>
              </w:rPr>
            </w:pPr>
            <w:r>
              <w:rPr>
                <w:sz w:val="23"/>
              </w:rPr>
              <w:t>Feb</w:t>
            </w:r>
            <w:r>
              <w:rPr>
                <w:spacing w:val="-3"/>
                <w:sz w:val="23"/>
              </w:rPr>
              <w:t xml:space="preserve"> </w:t>
            </w:r>
            <w:r>
              <w:rPr>
                <w:sz w:val="23"/>
              </w:rPr>
              <w:t>2015</w:t>
            </w:r>
          </w:p>
        </w:tc>
        <w:tc>
          <w:tcPr>
            <w:tcW w:w="922" w:type="dxa"/>
            <w:vMerge w:val="restart"/>
          </w:tcPr>
          <w:p w:rsidR="00B0268C" w:rsidRDefault="00B0268C">
            <w:pPr>
              <w:pStyle w:val="TableParagraph"/>
            </w:pPr>
          </w:p>
        </w:tc>
        <w:tc>
          <w:tcPr>
            <w:tcW w:w="972" w:type="dxa"/>
            <w:vMerge w:val="restart"/>
          </w:tcPr>
          <w:p w:rsidR="00B0268C" w:rsidRDefault="00B0268C">
            <w:pPr>
              <w:pStyle w:val="TableParagraph"/>
            </w:pPr>
          </w:p>
        </w:tc>
        <w:tc>
          <w:tcPr>
            <w:tcW w:w="972" w:type="dxa"/>
            <w:vMerge w:val="restart"/>
          </w:tcPr>
          <w:p w:rsidR="00B0268C" w:rsidRDefault="00B0268C">
            <w:pPr>
              <w:pStyle w:val="TableParagraph"/>
            </w:pPr>
          </w:p>
        </w:tc>
        <w:tc>
          <w:tcPr>
            <w:tcW w:w="2727" w:type="dxa"/>
            <w:vMerge w:val="restart"/>
          </w:tcPr>
          <w:p w:rsidR="00B0268C" w:rsidRDefault="00B0268C">
            <w:pPr>
              <w:pStyle w:val="TableParagraph"/>
            </w:pPr>
          </w:p>
        </w:tc>
        <w:tc>
          <w:tcPr>
            <w:tcW w:w="1020" w:type="dxa"/>
            <w:vMerge w:val="restart"/>
          </w:tcPr>
          <w:p w:rsidR="00B0268C" w:rsidRDefault="00B0268C">
            <w:pPr>
              <w:pStyle w:val="TableParagraph"/>
            </w:pPr>
          </w:p>
        </w:tc>
      </w:tr>
      <w:tr w:rsidR="00B0268C">
        <w:trPr>
          <w:trHeight w:val="255"/>
        </w:trPr>
        <w:tc>
          <w:tcPr>
            <w:tcW w:w="1685" w:type="dxa"/>
            <w:tcBorders>
              <w:top w:val="nil"/>
              <w:bottom w:val="nil"/>
            </w:tcBorders>
          </w:tcPr>
          <w:p w:rsidR="00B0268C" w:rsidRDefault="00C408FB">
            <w:pPr>
              <w:pStyle w:val="TableParagraph"/>
              <w:spacing w:line="235" w:lineRule="exact"/>
              <w:ind w:left="107"/>
              <w:rPr>
                <w:sz w:val="23"/>
              </w:rPr>
            </w:pPr>
            <w:r>
              <w:rPr>
                <w:sz w:val="23"/>
              </w:rPr>
              <w:t>…</w:t>
            </w:r>
          </w:p>
        </w:tc>
        <w:tc>
          <w:tcPr>
            <w:tcW w:w="922" w:type="dxa"/>
            <w:vMerge/>
            <w:tcBorders>
              <w:top w:val="nil"/>
            </w:tcBorders>
          </w:tcPr>
          <w:p w:rsidR="00B0268C" w:rsidRDefault="00B0268C">
            <w:pPr>
              <w:rPr>
                <w:sz w:val="2"/>
                <w:szCs w:val="2"/>
              </w:rPr>
            </w:pPr>
          </w:p>
        </w:tc>
        <w:tc>
          <w:tcPr>
            <w:tcW w:w="972" w:type="dxa"/>
            <w:vMerge/>
            <w:tcBorders>
              <w:top w:val="nil"/>
            </w:tcBorders>
          </w:tcPr>
          <w:p w:rsidR="00B0268C" w:rsidRDefault="00B0268C">
            <w:pPr>
              <w:rPr>
                <w:sz w:val="2"/>
                <w:szCs w:val="2"/>
              </w:rPr>
            </w:pPr>
          </w:p>
        </w:tc>
        <w:tc>
          <w:tcPr>
            <w:tcW w:w="972" w:type="dxa"/>
            <w:vMerge/>
            <w:tcBorders>
              <w:top w:val="nil"/>
            </w:tcBorders>
          </w:tcPr>
          <w:p w:rsidR="00B0268C" w:rsidRDefault="00B0268C">
            <w:pPr>
              <w:rPr>
                <w:sz w:val="2"/>
                <w:szCs w:val="2"/>
              </w:rPr>
            </w:pPr>
          </w:p>
        </w:tc>
        <w:tc>
          <w:tcPr>
            <w:tcW w:w="2727" w:type="dxa"/>
            <w:vMerge/>
            <w:tcBorders>
              <w:top w:val="nil"/>
            </w:tcBorders>
          </w:tcPr>
          <w:p w:rsidR="00B0268C" w:rsidRDefault="00B0268C">
            <w:pPr>
              <w:rPr>
                <w:sz w:val="2"/>
                <w:szCs w:val="2"/>
              </w:rPr>
            </w:pPr>
          </w:p>
        </w:tc>
        <w:tc>
          <w:tcPr>
            <w:tcW w:w="1020" w:type="dxa"/>
            <w:vMerge/>
            <w:tcBorders>
              <w:top w:val="nil"/>
            </w:tcBorders>
          </w:tcPr>
          <w:p w:rsidR="00B0268C" w:rsidRDefault="00B0268C">
            <w:pPr>
              <w:rPr>
                <w:sz w:val="2"/>
                <w:szCs w:val="2"/>
              </w:rPr>
            </w:pPr>
          </w:p>
        </w:tc>
      </w:tr>
      <w:tr w:rsidR="00B0268C">
        <w:trPr>
          <w:trHeight w:val="259"/>
        </w:trPr>
        <w:tc>
          <w:tcPr>
            <w:tcW w:w="1685" w:type="dxa"/>
            <w:tcBorders>
              <w:top w:val="nil"/>
            </w:tcBorders>
          </w:tcPr>
          <w:p w:rsidR="00B0268C" w:rsidRDefault="00C408FB">
            <w:pPr>
              <w:pStyle w:val="TableParagraph"/>
              <w:spacing w:line="240" w:lineRule="exact"/>
              <w:ind w:left="107"/>
              <w:rPr>
                <w:sz w:val="23"/>
              </w:rPr>
            </w:pPr>
            <w:r>
              <w:rPr>
                <w:sz w:val="23"/>
              </w:rPr>
              <w:t>Total</w:t>
            </w:r>
          </w:p>
        </w:tc>
        <w:tc>
          <w:tcPr>
            <w:tcW w:w="922" w:type="dxa"/>
            <w:vMerge/>
            <w:tcBorders>
              <w:top w:val="nil"/>
            </w:tcBorders>
          </w:tcPr>
          <w:p w:rsidR="00B0268C" w:rsidRDefault="00B0268C">
            <w:pPr>
              <w:rPr>
                <w:sz w:val="2"/>
                <w:szCs w:val="2"/>
              </w:rPr>
            </w:pPr>
          </w:p>
        </w:tc>
        <w:tc>
          <w:tcPr>
            <w:tcW w:w="972" w:type="dxa"/>
            <w:vMerge/>
            <w:tcBorders>
              <w:top w:val="nil"/>
            </w:tcBorders>
          </w:tcPr>
          <w:p w:rsidR="00B0268C" w:rsidRDefault="00B0268C">
            <w:pPr>
              <w:rPr>
                <w:sz w:val="2"/>
                <w:szCs w:val="2"/>
              </w:rPr>
            </w:pPr>
          </w:p>
        </w:tc>
        <w:tc>
          <w:tcPr>
            <w:tcW w:w="972" w:type="dxa"/>
            <w:vMerge/>
            <w:tcBorders>
              <w:top w:val="nil"/>
            </w:tcBorders>
          </w:tcPr>
          <w:p w:rsidR="00B0268C" w:rsidRDefault="00B0268C">
            <w:pPr>
              <w:rPr>
                <w:sz w:val="2"/>
                <w:szCs w:val="2"/>
              </w:rPr>
            </w:pPr>
          </w:p>
        </w:tc>
        <w:tc>
          <w:tcPr>
            <w:tcW w:w="2727" w:type="dxa"/>
            <w:vMerge/>
            <w:tcBorders>
              <w:top w:val="nil"/>
            </w:tcBorders>
          </w:tcPr>
          <w:p w:rsidR="00B0268C" w:rsidRDefault="00B0268C">
            <w:pPr>
              <w:rPr>
                <w:sz w:val="2"/>
                <w:szCs w:val="2"/>
              </w:rPr>
            </w:pPr>
          </w:p>
        </w:tc>
        <w:tc>
          <w:tcPr>
            <w:tcW w:w="1020" w:type="dxa"/>
            <w:vMerge/>
            <w:tcBorders>
              <w:top w:val="nil"/>
            </w:tcBorders>
          </w:tcPr>
          <w:p w:rsidR="00B0268C" w:rsidRDefault="00B0268C">
            <w:pPr>
              <w:rPr>
                <w:sz w:val="2"/>
                <w:szCs w:val="2"/>
              </w:rPr>
            </w:pPr>
          </w:p>
        </w:tc>
      </w:tr>
    </w:tbl>
    <w:p w:rsidR="00B0268C" w:rsidRDefault="00B0268C">
      <w:pPr>
        <w:pStyle w:val="BodyText"/>
        <w:rPr>
          <w:b/>
          <w:sz w:val="26"/>
        </w:rPr>
      </w:pPr>
    </w:p>
    <w:p w:rsidR="00B0268C" w:rsidRDefault="00B0268C">
      <w:pPr>
        <w:pStyle w:val="BodyText"/>
        <w:spacing w:before="5"/>
        <w:rPr>
          <w:b/>
          <w:sz w:val="21"/>
        </w:rPr>
      </w:pPr>
    </w:p>
    <w:p w:rsidR="00B0268C" w:rsidRDefault="00C408FB">
      <w:pPr>
        <w:pStyle w:val="ListParagraph"/>
        <w:numPr>
          <w:ilvl w:val="1"/>
          <w:numId w:val="4"/>
        </w:numPr>
        <w:tabs>
          <w:tab w:val="left" w:pos="934"/>
        </w:tabs>
        <w:spacing w:before="1"/>
        <w:rPr>
          <w:sz w:val="24"/>
        </w:rPr>
      </w:pPr>
      <w:r>
        <w:rPr>
          <w:b/>
          <w:sz w:val="24"/>
        </w:rPr>
        <w:t xml:space="preserve">Randomisation - </w:t>
      </w:r>
      <w:proofErr w:type="spellStart"/>
      <w:r>
        <w:rPr>
          <w:sz w:val="24"/>
        </w:rPr>
        <w:t>Stratifiers</w:t>
      </w:r>
      <w:proofErr w:type="spellEnd"/>
    </w:p>
    <w:p w:rsidR="00B0268C" w:rsidRDefault="00B0268C">
      <w:pPr>
        <w:pStyle w:val="BodyText"/>
        <w:spacing w:before="6"/>
        <w:rPr>
          <w:sz w:val="21"/>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2"/>
        <w:gridCol w:w="1483"/>
        <w:gridCol w:w="1478"/>
        <w:gridCol w:w="1503"/>
        <w:gridCol w:w="751"/>
      </w:tblGrid>
      <w:tr w:rsidR="00B0268C">
        <w:trPr>
          <w:trHeight w:val="794"/>
        </w:trPr>
        <w:tc>
          <w:tcPr>
            <w:tcW w:w="3082" w:type="dxa"/>
            <w:shd w:val="clear" w:color="auto" w:fill="D9D9D9"/>
          </w:tcPr>
          <w:p w:rsidR="00B0268C" w:rsidRDefault="00B0268C">
            <w:pPr>
              <w:pStyle w:val="TableParagraph"/>
            </w:pPr>
          </w:p>
        </w:tc>
        <w:tc>
          <w:tcPr>
            <w:tcW w:w="1483" w:type="dxa"/>
            <w:shd w:val="clear" w:color="auto" w:fill="D9D9D9"/>
          </w:tcPr>
          <w:p w:rsidR="00B0268C" w:rsidRDefault="00C408FB">
            <w:pPr>
              <w:pStyle w:val="TableParagraph"/>
              <w:ind w:left="203" w:right="194"/>
              <w:jc w:val="center"/>
              <w:rPr>
                <w:sz w:val="23"/>
              </w:rPr>
            </w:pPr>
            <w:r>
              <w:rPr>
                <w:sz w:val="23"/>
              </w:rPr>
              <w:t xml:space="preserve">Arm </w:t>
            </w:r>
            <w:proofErr w:type="spellStart"/>
            <w:r>
              <w:rPr>
                <w:sz w:val="23"/>
              </w:rPr>
              <w:t>Ia</w:t>
            </w:r>
            <w:proofErr w:type="spellEnd"/>
            <w:r>
              <w:rPr>
                <w:sz w:val="23"/>
              </w:rPr>
              <w:t>/ Active</w:t>
            </w:r>
          </w:p>
          <w:p w:rsidR="00B0268C" w:rsidRDefault="00C408FB">
            <w:pPr>
              <w:pStyle w:val="TableParagraph"/>
              <w:spacing w:line="251" w:lineRule="exact"/>
              <w:ind w:left="203" w:right="194"/>
              <w:jc w:val="center"/>
              <w:rPr>
                <w:sz w:val="23"/>
              </w:rPr>
            </w:pPr>
            <w:r>
              <w:rPr>
                <w:sz w:val="23"/>
              </w:rPr>
              <w:t>N (% total)</w:t>
            </w:r>
          </w:p>
        </w:tc>
        <w:tc>
          <w:tcPr>
            <w:tcW w:w="1478" w:type="dxa"/>
            <w:shd w:val="clear" w:color="auto" w:fill="D9D9D9"/>
          </w:tcPr>
          <w:p w:rsidR="00B0268C" w:rsidRDefault="00C408FB">
            <w:pPr>
              <w:pStyle w:val="TableParagraph"/>
              <w:ind w:left="201" w:right="188"/>
              <w:jc w:val="center"/>
              <w:rPr>
                <w:sz w:val="23"/>
              </w:rPr>
            </w:pPr>
            <w:r>
              <w:rPr>
                <w:sz w:val="23"/>
              </w:rPr>
              <w:t xml:space="preserve">Arm </w:t>
            </w:r>
            <w:proofErr w:type="spellStart"/>
            <w:r>
              <w:rPr>
                <w:sz w:val="23"/>
              </w:rPr>
              <w:t>Ib</w:t>
            </w:r>
            <w:proofErr w:type="spellEnd"/>
            <w:r>
              <w:rPr>
                <w:sz w:val="23"/>
              </w:rPr>
              <w:t>/ Active</w:t>
            </w:r>
          </w:p>
          <w:p w:rsidR="00B0268C" w:rsidRDefault="00C408FB">
            <w:pPr>
              <w:pStyle w:val="TableParagraph"/>
              <w:spacing w:line="251" w:lineRule="exact"/>
              <w:ind w:left="201" w:right="191"/>
              <w:jc w:val="center"/>
              <w:rPr>
                <w:sz w:val="23"/>
              </w:rPr>
            </w:pPr>
            <w:r>
              <w:rPr>
                <w:sz w:val="23"/>
              </w:rPr>
              <w:t>N (% total)</w:t>
            </w:r>
          </w:p>
        </w:tc>
        <w:tc>
          <w:tcPr>
            <w:tcW w:w="1503" w:type="dxa"/>
            <w:shd w:val="clear" w:color="auto" w:fill="D9D9D9"/>
          </w:tcPr>
          <w:p w:rsidR="00B0268C" w:rsidRDefault="00C408FB">
            <w:pPr>
              <w:pStyle w:val="TableParagraph"/>
              <w:ind w:left="399" w:right="387" w:hanging="3"/>
              <w:jc w:val="center"/>
              <w:rPr>
                <w:sz w:val="23"/>
              </w:rPr>
            </w:pPr>
            <w:r>
              <w:rPr>
                <w:sz w:val="23"/>
              </w:rPr>
              <w:t>Arm C/ Control</w:t>
            </w:r>
          </w:p>
          <w:p w:rsidR="00B0268C" w:rsidRDefault="00C408FB">
            <w:pPr>
              <w:pStyle w:val="TableParagraph"/>
              <w:spacing w:line="251" w:lineRule="exact"/>
              <w:ind w:left="214" w:right="204"/>
              <w:jc w:val="center"/>
              <w:rPr>
                <w:sz w:val="23"/>
              </w:rPr>
            </w:pPr>
            <w:r>
              <w:rPr>
                <w:sz w:val="23"/>
              </w:rPr>
              <w:t>N (% total)</w:t>
            </w:r>
          </w:p>
        </w:tc>
        <w:tc>
          <w:tcPr>
            <w:tcW w:w="751" w:type="dxa"/>
            <w:shd w:val="clear" w:color="auto" w:fill="D9D9D9"/>
          </w:tcPr>
          <w:p w:rsidR="00B0268C" w:rsidRDefault="00C408FB">
            <w:pPr>
              <w:pStyle w:val="TableParagraph"/>
              <w:spacing w:line="259" w:lineRule="exact"/>
              <w:ind w:left="132"/>
              <w:rPr>
                <w:sz w:val="23"/>
              </w:rPr>
            </w:pPr>
            <w:r>
              <w:rPr>
                <w:sz w:val="23"/>
              </w:rPr>
              <w:t>Total</w:t>
            </w:r>
          </w:p>
        </w:tc>
      </w:tr>
      <w:tr w:rsidR="00B0268C">
        <w:trPr>
          <w:trHeight w:val="1091"/>
        </w:trPr>
        <w:tc>
          <w:tcPr>
            <w:tcW w:w="3082" w:type="dxa"/>
          </w:tcPr>
          <w:p w:rsidR="00B0268C" w:rsidRDefault="00C408FB">
            <w:pPr>
              <w:pStyle w:val="TableParagraph"/>
              <w:spacing w:line="259" w:lineRule="exact"/>
              <w:ind w:left="107"/>
              <w:rPr>
                <w:b/>
                <w:sz w:val="23"/>
              </w:rPr>
            </w:pPr>
            <w:r>
              <w:rPr>
                <w:b/>
                <w:sz w:val="23"/>
              </w:rPr>
              <w:t>BCVA letter score</w:t>
            </w:r>
          </w:p>
          <w:p w:rsidR="00B0268C" w:rsidRDefault="00C408FB">
            <w:pPr>
              <w:pStyle w:val="TableParagraph"/>
              <w:ind w:left="107" w:right="2404"/>
              <w:rPr>
                <w:sz w:val="24"/>
              </w:rPr>
            </w:pPr>
            <w:r>
              <w:rPr>
                <w:sz w:val="24"/>
              </w:rPr>
              <w:t>≤38 39-58</w:t>
            </w:r>
          </w:p>
          <w:p w:rsidR="00B0268C" w:rsidRDefault="00C408FB">
            <w:pPr>
              <w:pStyle w:val="TableParagraph"/>
              <w:spacing w:line="264" w:lineRule="exact"/>
              <w:ind w:left="107"/>
              <w:rPr>
                <w:sz w:val="24"/>
              </w:rPr>
            </w:pPr>
            <w:r>
              <w:rPr>
                <w:sz w:val="24"/>
              </w:rPr>
              <w:t>≥59</w:t>
            </w:r>
          </w:p>
        </w:tc>
        <w:tc>
          <w:tcPr>
            <w:tcW w:w="1483" w:type="dxa"/>
          </w:tcPr>
          <w:p w:rsidR="00B0268C" w:rsidRDefault="00B0268C">
            <w:pPr>
              <w:pStyle w:val="TableParagraph"/>
            </w:pPr>
          </w:p>
        </w:tc>
        <w:tc>
          <w:tcPr>
            <w:tcW w:w="1478" w:type="dxa"/>
          </w:tcPr>
          <w:p w:rsidR="00B0268C" w:rsidRDefault="00B0268C">
            <w:pPr>
              <w:pStyle w:val="TableParagraph"/>
            </w:pPr>
          </w:p>
        </w:tc>
        <w:tc>
          <w:tcPr>
            <w:tcW w:w="1503" w:type="dxa"/>
          </w:tcPr>
          <w:p w:rsidR="00B0268C" w:rsidRDefault="00B0268C">
            <w:pPr>
              <w:pStyle w:val="TableParagraph"/>
            </w:pPr>
          </w:p>
        </w:tc>
        <w:tc>
          <w:tcPr>
            <w:tcW w:w="751" w:type="dxa"/>
          </w:tcPr>
          <w:p w:rsidR="00B0268C" w:rsidRDefault="00B0268C">
            <w:pPr>
              <w:pStyle w:val="TableParagraph"/>
            </w:pPr>
          </w:p>
        </w:tc>
      </w:tr>
      <w:tr w:rsidR="00B0268C">
        <w:trPr>
          <w:trHeight w:val="1655"/>
        </w:trPr>
        <w:tc>
          <w:tcPr>
            <w:tcW w:w="3082" w:type="dxa"/>
          </w:tcPr>
          <w:p w:rsidR="00B0268C" w:rsidRDefault="00C408FB">
            <w:pPr>
              <w:pStyle w:val="TableParagraph"/>
              <w:ind w:left="107" w:right="84"/>
              <w:rPr>
                <w:b/>
                <w:sz w:val="24"/>
              </w:rPr>
            </w:pPr>
            <w:r>
              <w:rPr>
                <w:b/>
                <w:sz w:val="24"/>
              </w:rPr>
              <w:t>On onset of symptoms to presentation at hospital and commencement of therapy</w:t>
            </w:r>
          </w:p>
          <w:p w:rsidR="00B0268C" w:rsidRDefault="00C408FB">
            <w:pPr>
              <w:pStyle w:val="TableParagraph"/>
              <w:spacing w:line="271" w:lineRule="exact"/>
              <w:ind w:left="107"/>
              <w:rPr>
                <w:sz w:val="24"/>
              </w:rPr>
            </w:pPr>
            <w:r>
              <w:rPr>
                <w:sz w:val="24"/>
              </w:rPr>
              <w:t>&lt;3 months</w:t>
            </w:r>
          </w:p>
          <w:p w:rsidR="00B0268C" w:rsidRDefault="00C408FB">
            <w:pPr>
              <w:pStyle w:val="TableParagraph"/>
              <w:ind w:left="107"/>
              <w:rPr>
                <w:sz w:val="24"/>
              </w:rPr>
            </w:pPr>
            <w:r>
              <w:rPr>
                <w:sz w:val="24"/>
              </w:rPr>
              <w:t>3-6 months</w:t>
            </w:r>
          </w:p>
          <w:p w:rsidR="00B0268C" w:rsidRDefault="00C408FB">
            <w:pPr>
              <w:pStyle w:val="TableParagraph"/>
              <w:spacing w:line="264" w:lineRule="exact"/>
              <w:ind w:left="107"/>
              <w:rPr>
                <w:sz w:val="24"/>
              </w:rPr>
            </w:pPr>
            <w:r>
              <w:rPr>
                <w:sz w:val="24"/>
              </w:rPr>
              <w:t>&gt;6 months</w:t>
            </w:r>
          </w:p>
        </w:tc>
        <w:tc>
          <w:tcPr>
            <w:tcW w:w="1483" w:type="dxa"/>
          </w:tcPr>
          <w:p w:rsidR="00B0268C" w:rsidRDefault="00B0268C">
            <w:pPr>
              <w:pStyle w:val="TableParagraph"/>
            </w:pPr>
          </w:p>
        </w:tc>
        <w:tc>
          <w:tcPr>
            <w:tcW w:w="1478" w:type="dxa"/>
          </w:tcPr>
          <w:p w:rsidR="00B0268C" w:rsidRDefault="00B0268C">
            <w:pPr>
              <w:pStyle w:val="TableParagraph"/>
            </w:pPr>
          </w:p>
        </w:tc>
        <w:tc>
          <w:tcPr>
            <w:tcW w:w="1503" w:type="dxa"/>
          </w:tcPr>
          <w:p w:rsidR="00B0268C" w:rsidRDefault="00B0268C">
            <w:pPr>
              <w:pStyle w:val="TableParagraph"/>
            </w:pPr>
          </w:p>
        </w:tc>
        <w:tc>
          <w:tcPr>
            <w:tcW w:w="751" w:type="dxa"/>
          </w:tcPr>
          <w:p w:rsidR="00B0268C" w:rsidRDefault="00B0268C">
            <w:pPr>
              <w:pStyle w:val="TableParagraph"/>
            </w:pPr>
          </w:p>
        </w:tc>
      </w:tr>
      <w:tr w:rsidR="00B0268C">
        <w:trPr>
          <w:trHeight w:val="827"/>
        </w:trPr>
        <w:tc>
          <w:tcPr>
            <w:tcW w:w="3082" w:type="dxa"/>
          </w:tcPr>
          <w:p w:rsidR="00B0268C" w:rsidRDefault="00C408FB">
            <w:pPr>
              <w:pStyle w:val="TableParagraph"/>
              <w:spacing w:line="271" w:lineRule="exact"/>
              <w:ind w:left="107"/>
              <w:rPr>
                <w:b/>
                <w:sz w:val="24"/>
              </w:rPr>
            </w:pPr>
            <w:r>
              <w:rPr>
                <w:b/>
                <w:sz w:val="24"/>
              </w:rPr>
              <w:t>Treatment:</w:t>
            </w:r>
          </w:p>
          <w:p w:rsidR="00B0268C" w:rsidRDefault="00C408FB">
            <w:pPr>
              <w:pStyle w:val="TableParagraph"/>
              <w:spacing w:before="1" w:line="276" w:lineRule="exact"/>
              <w:ind w:left="107" w:right="2105"/>
              <w:rPr>
                <w:sz w:val="24"/>
              </w:rPr>
            </w:pPr>
            <w:r>
              <w:rPr>
                <w:sz w:val="24"/>
              </w:rPr>
              <w:t>Naïve Previous</w:t>
            </w:r>
          </w:p>
        </w:tc>
        <w:tc>
          <w:tcPr>
            <w:tcW w:w="1483" w:type="dxa"/>
          </w:tcPr>
          <w:p w:rsidR="00B0268C" w:rsidRDefault="00B0268C">
            <w:pPr>
              <w:pStyle w:val="TableParagraph"/>
            </w:pPr>
          </w:p>
        </w:tc>
        <w:tc>
          <w:tcPr>
            <w:tcW w:w="1478" w:type="dxa"/>
          </w:tcPr>
          <w:p w:rsidR="00B0268C" w:rsidRDefault="00B0268C">
            <w:pPr>
              <w:pStyle w:val="TableParagraph"/>
            </w:pPr>
          </w:p>
        </w:tc>
        <w:tc>
          <w:tcPr>
            <w:tcW w:w="1503" w:type="dxa"/>
          </w:tcPr>
          <w:p w:rsidR="00B0268C" w:rsidRDefault="00B0268C">
            <w:pPr>
              <w:pStyle w:val="TableParagraph"/>
            </w:pPr>
          </w:p>
        </w:tc>
        <w:tc>
          <w:tcPr>
            <w:tcW w:w="751" w:type="dxa"/>
          </w:tcPr>
          <w:p w:rsidR="00B0268C" w:rsidRDefault="00B0268C">
            <w:pPr>
              <w:pStyle w:val="TableParagraph"/>
            </w:pPr>
          </w:p>
        </w:tc>
      </w:tr>
      <w:tr w:rsidR="00B0268C">
        <w:trPr>
          <w:trHeight w:val="266"/>
        </w:trPr>
        <w:tc>
          <w:tcPr>
            <w:tcW w:w="3082" w:type="dxa"/>
          </w:tcPr>
          <w:p w:rsidR="00B0268C" w:rsidRDefault="00C408FB">
            <w:pPr>
              <w:pStyle w:val="TableParagraph"/>
              <w:spacing w:line="246" w:lineRule="exact"/>
              <w:ind w:left="107"/>
              <w:rPr>
                <w:b/>
                <w:sz w:val="23"/>
              </w:rPr>
            </w:pPr>
            <w:r>
              <w:rPr>
                <w:b/>
                <w:sz w:val="23"/>
              </w:rPr>
              <w:t>Overall</w:t>
            </w:r>
          </w:p>
        </w:tc>
        <w:tc>
          <w:tcPr>
            <w:tcW w:w="1483" w:type="dxa"/>
          </w:tcPr>
          <w:p w:rsidR="00B0268C" w:rsidRDefault="00B0268C">
            <w:pPr>
              <w:pStyle w:val="TableParagraph"/>
              <w:rPr>
                <w:sz w:val="18"/>
              </w:rPr>
            </w:pPr>
          </w:p>
        </w:tc>
        <w:tc>
          <w:tcPr>
            <w:tcW w:w="1478" w:type="dxa"/>
          </w:tcPr>
          <w:p w:rsidR="00B0268C" w:rsidRDefault="00B0268C">
            <w:pPr>
              <w:pStyle w:val="TableParagraph"/>
              <w:rPr>
                <w:sz w:val="18"/>
              </w:rPr>
            </w:pPr>
          </w:p>
        </w:tc>
        <w:tc>
          <w:tcPr>
            <w:tcW w:w="1503" w:type="dxa"/>
          </w:tcPr>
          <w:p w:rsidR="00B0268C" w:rsidRDefault="00B0268C">
            <w:pPr>
              <w:pStyle w:val="TableParagraph"/>
              <w:rPr>
                <w:sz w:val="18"/>
              </w:rPr>
            </w:pPr>
          </w:p>
        </w:tc>
        <w:tc>
          <w:tcPr>
            <w:tcW w:w="751" w:type="dxa"/>
          </w:tcPr>
          <w:p w:rsidR="00B0268C" w:rsidRDefault="00B0268C">
            <w:pPr>
              <w:pStyle w:val="TableParagraph"/>
              <w:rPr>
                <w:sz w:val="18"/>
              </w:rPr>
            </w:pPr>
          </w:p>
        </w:tc>
      </w:tr>
    </w:tbl>
    <w:p w:rsidR="00B0268C" w:rsidRDefault="00B0268C">
      <w:pPr>
        <w:pStyle w:val="BodyText"/>
        <w:rPr>
          <w:sz w:val="26"/>
        </w:rPr>
      </w:pPr>
    </w:p>
    <w:p w:rsidR="00B0268C" w:rsidRDefault="00B0268C">
      <w:pPr>
        <w:pStyle w:val="BodyText"/>
        <w:spacing w:before="10"/>
        <w:rPr>
          <w:sz w:val="21"/>
        </w:rPr>
      </w:pPr>
    </w:p>
    <w:p w:rsidR="00B0268C" w:rsidRDefault="00C408FB">
      <w:pPr>
        <w:pStyle w:val="Heading2"/>
        <w:numPr>
          <w:ilvl w:val="1"/>
          <w:numId w:val="4"/>
        </w:numPr>
        <w:tabs>
          <w:tab w:val="left" w:pos="934"/>
        </w:tabs>
        <w:rPr>
          <w:rFonts w:ascii="Times New Roman"/>
        </w:rPr>
      </w:pPr>
      <w:r>
        <w:rPr>
          <w:rFonts w:ascii="Times New Roman"/>
        </w:rPr>
        <w:t>Compliance</w:t>
      </w:r>
    </w:p>
    <w:p w:rsidR="00B0268C" w:rsidRDefault="00B0268C">
      <w:pPr>
        <w:pStyle w:val="BodyText"/>
        <w:spacing w:before="1"/>
        <w:rPr>
          <w:b/>
          <w:sz w:val="31"/>
        </w:rPr>
      </w:pPr>
    </w:p>
    <w:p w:rsidR="00B0268C" w:rsidRDefault="00C408FB">
      <w:pPr>
        <w:pStyle w:val="ListParagraph"/>
        <w:numPr>
          <w:ilvl w:val="2"/>
          <w:numId w:val="4"/>
        </w:numPr>
        <w:tabs>
          <w:tab w:val="left" w:pos="1653"/>
          <w:tab w:val="left" w:pos="1654"/>
        </w:tabs>
        <w:spacing w:before="1"/>
        <w:rPr>
          <w:b/>
          <w:sz w:val="24"/>
        </w:rPr>
      </w:pPr>
      <w:r>
        <w:rPr>
          <w:b/>
          <w:sz w:val="24"/>
        </w:rPr>
        <w:t>Up to and including 12 weeks of</w:t>
      </w:r>
      <w:r>
        <w:rPr>
          <w:b/>
          <w:spacing w:val="-2"/>
          <w:sz w:val="24"/>
        </w:rPr>
        <w:t xml:space="preserve"> </w:t>
      </w:r>
      <w:r>
        <w:rPr>
          <w:b/>
          <w:sz w:val="24"/>
        </w:rPr>
        <w:t>treatment</w:t>
      </w:r>
    </w:p>
    <w:p w:rsidR="00B0268C" w:rsidRDefault="00B0268C">
      <w:pPr>
        <w:pStyle w:val="BodyText"/>
        <w:spacing w:before="1"/>
        <w:rPr>
          <w:b/>
          <w:sz w:val="21"/>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2"/>
        <w:gridCol w:w="2125"/>
        <w:gridCol w:w="2696"/>
        <w:gridCol w:w="2269"/>
      </w:tblGrid>
      <w:tr w:rsidR="00B0268C">
        <w:trPr>
          <w:trHeight w:val="527"/>
        </w:trPr>
        <w:tc>
          <w:tcPr>
            <w:tcW w:w="1272" w:type="dxa"/>
            <w:shd w:val="clear" w:color="auto" w:fill="D9D9D9"/>
          </w:tcPr>
          <w:p w:rsidR="00B0268C" w:rsidRDefault="00C408FB">
            <w:pPr>
              <w:pStyle w:val="TableParagraph"/>
              <w:spacing w:line="258" w:lineRule="exact"/>
              <w:ind w:left="107"/>
              <w:rPr>
                <w:sz w:val="23"/>
              </w:rPr>
            </w:pPr>
            <w:r>
              <w:rPr>
                <w:sz w:val="23"/>
              </w:rPr>
              <w:t>Weeks:</w:t>
            </w:r>
          </w:p>
        </w:tc>
        <w:tc>
          <w:tcPr>
            <w:tcW w:w="2125" w:type="dxa"/>
            <w:shd w:val="clear" w:color="auto" w:fill="D9D9D9"/>
          </w:tcPr>
          <w:p w:rsidR="00B0268C" w:rsidRDefault="00C408FB">
            <w:pPr>
              <w:pStyle w:val="TableParagraph"/>
              <w:spacing w:line="258" w:lineRule="exact"/>
              <w:ind w:left="346" w:right="336"/>
              <w:jc w:val="center"/>
              <w:rPr>
                <w:sz w:val="23"/>
              </w:rPr>
            </w:pPr>
            <w:r>
              <w:rPr>
                <w:sz w:val="23"/>
              </w:rPr>
              <w:t xml:space="preserve">Arm </w:t>
            </w:r>
            <w:proofErr w:type="spellStart"/>
            <w:r>
              <w:rPr>
                <w:sz w:val="23"/>
              </w:rPr>
              <w:t>Ia</w:t>
            </w:r>
            <w:proofErr w:type="spellEnd"/>
            <w:r>
              <w:rPr>
                <w:sz w:val="23"/>
              </w:rPr>
              <w:t>/ Active</w:t>
            </w:r>
          </w:p>
          <w:p w:rsidR="00B0268C" w:rsidRDefault="00C408FB">
            <w:pPr>
              <w:pStyle w:val="TableParagraph"/>
              <w:spacing w:line="249" w:lineRule="exact"/>
              <w:ind w:left="346" w:right="334"/>
              <w:jc w:val="center"/>
              <w:rPr>
                <w:sz w:val="23"/>
              </w:rPr>
            </w:pPr>
            <w:r>
              <w:rPr>
                <w:sz w:val="23"/>
              </w:rPr>
              <w:t>% (n/d)</w:t>
            </w:r>
          </w:p>
        </w:tc>
        <w:tc>
          <w:tcPr>
            <w:tcW w:w="2696" w:type="dxa"/>
            <w:shd w:val="clear" w:color="auto" w:fill="D9D9D9"/>
          </w:tcPr>
          <w:p w:rsidR="00B0268C" w:rsidRDefault="00C408FB">
            <w:pPr>
              <w:pStyle w:val="TableParagraph"/>
              <w:spacing w:line="258" w:lineRule="exact"/>
              <w:ind w:left="624" w:right="615"/>
              <w:jc w:val="center"/>
              <w:rPr>
                <w:sz w:val="23"/>
              </w:rPr>
            </w:pPr>
            <w:r>
              <w:rPr>
                <w:sz w:val="23"/>
              </w:rPr>
              <w:t xml:space="preserve">Arm </w:t>
            </w:r>
            <w:proofErr w:type="spellStart"/>
            <w:r>
              <w:rPr>
                <w:sz w:val="23"/>
              </w:rPr>
              <w:t>Ib</w:t>
            </w:r>
            <w:proofErr w:type="spellEnd"/>
            <w:r>
              <w:rPr>
                <w:sz w:val="23"/>
              </w:rPr>
              <w:t>/ Active</w:t>
            </w:r>
          </w:p>
          <w:p w:rsidR="00B0268C" w:rsidRDefault="00C408FB">
            <w:pPr>
              <w:pStyle w:val="TableParagraph"/>
              <w:spacing w:line="249" w:lineRule="exact"/>
              <w:ind w:left="624" w:right="611"/>
              <w:jc w:val="center"/>
              <w:rPr>
                <w:sz w:val="23"/>
              </w:rPr>
            </w:pPr>
            <w:r>
              <w:rPr>
                <w:sz w:val="23"/>
              </w:rPr>
              <w:t>% (n/d)</w:t>
            </w:r>
          </w:p>
        </w:tc>
        <w:tc>
          <w:tcPr>
            <w:tcW w:w="2269" w:type="dxa"/>
            <w:shd w:val="clear" w:color="auto" w:fill="D9D9D9"/>
          </w:tcPr>
          <w:p w:rsidR="00B0268C" w:rsidRDefault="00C408FB">
            <w:pPr>
              <w:pStyle w:val="TableParagraph"/>
              <w:spacing w:line="258" w:lineRule="exact"/>
              <w:ind w:left="385" w:right="377"/>
              <w:jc w:val="center"/>
              <w:rPr>
                <w:sz w:val="23"/>
              </w:rPr>
            </w:pPr>
            <w:r>
              <w:rPr>
                <w:sz w:val="23"/>
              </w:rPr>
              <w:t>Arm C/ Control</w:t>
            </w:r>
          </w:p>
          <w:p w:rsidR="00B0268C" w:rsidRDefault="00C408FB">
            <w:pPr>
              <w:pStyle w:val="TableParagraph"/>
              <w:spacing w:line="249" w:lineRule="exact"/>
              <w:ind w:left="384" w:right="377"/>
              <w:jc w:val="center"/>
              <w:rPr>
                <w:sz w:val="23"/>
              </w:rPr>
            </w:pPr>
            <w:r>
              <w:rPr>
                <w:sz w:val="23"/>
              </w:rPr>
              <w:t>% (n/d)</w:t>
            </w:r>
          </w:p>
        </w:tc>
      </w:tr>
      <w:tr w:rsidR="00B0268C">
        <w:trPr>
          <w:trHeight w:val="1106"/>
        </w:trPr>
        <w:tc>
          <w:tcPr>
            <w:tcW w:w="1272" w:type="dxa"/>
          </w:tcPr>
          <w:p w:rsidR="00B0268C" w:rsidRDefault="00C408FB">
            <w:pPr>
              <w:pStyle w:val="TableParagraph"/>
              <w:spacing w:line="258" w:lineRule="exact"/>
              <w:ind w:left="107"/>
              <w:rPr>
                <w:sz w:val="23"/>
              </w:rPr>
            </w:pPr>
            <w:r>
              <w:rPr>
                <w:sz w:val="23"/>
              </w:rPr>
              <w:t>4</w:t>
            </w:r>
          </w:p>
          <w:p w:rsidR="00B0268C" w:rsidRDefault="00C408FB">
            <w:pPr>
              <w:pStyle w:val="TableParagraph"/>
              <w:spacing w:before="11"/>
              <w:ind w:left="107"/>
              <w:rPr>
                <w:sz w:val="23"/>
              </w:rPr>
            </w:pPr>
            <w:r>
              <w:rPr>
                <w:sz w:val="23"/>
              </w:rPr>
              <w:t>8</w:t>
            </w:r>
          </w:p>
          <w:p w:rsidR="00B0268C" w:rsidRDefault="00C408FB">
            <w:pPr>
              <w:pStyle w:val="TableParagraph"/>
              <w:spacing w:before="12"/>
              <w:ind w:left="107"/>
              <w:rPr>
                <w:sz w:val="23"/>
              </w:rPr>
            </w:pPr>
            <w:r>
              <w:rPr>
                <w:sz w:val="23"/>
              </w:rPr>
              <w:t>12</w:t>
            </w:r>
          </w:p>
          <w:p w:rsidR="00B0268C" w:rsidRDefault="00C408FB">
            <w:pPr>
              <w:pStyle w:val="TableParagraph"/>
              <w:spacing w:before="17" w:line="259" w:lineRule="exact"/>
              <w:ind w:left="107"/>
              <w:rPr>
                <w:b/>
                <w:sz w:val="23"/>
              </w:rPr>
            </w:pPr>
            <w:r>
              <w:rPr>
                <w:b/>
                <w:sz w:val="23"/>
              </w:rPr>
              <w:t>Total</w:t>
            </w:r>
          </w:p>
        </w:tc>
        <w:tc>
          <w:tcPr>
            <w:tcW w:w="2125" w:type="dxa"/>
          </w:tcPr>
          <w:p w:rsidR="00B0268C" w:rsidRDefault="00B0268C">
            <w:pPr>
              <w:pStyle w:val="TableParagraph"/>
            </w:pPr>
          </w:p>
        </w:tc>
        <w:tc>
          <w:tcPr>
            <w:tcW w:w="2696" w:type="dxa"/>
          </w:tcPr>
          <w:p w:rsidR="00B0268C" w:rsidRDefault="00B0268C">
            <w:pPr>
              <w:pStyle w:val="TableParagraph"/>
            </w:pPr>
          </w:p>
        </w:tc>
        <w:tc>
          <w:tcPr>
            <w:tcW w:w="2269" w:type="dxa"/>
          </w:tcPr>
          <w:p w:rsidR="00B0268C" w:rsidRDefault="00B0268C">
            <w:pPr>
              <w:pStyle w:val="TableParagraph"/>
            </w:pPr>
          </w:p>
        </w:tc>
      </w:tr>
    </w:tbl>
    <w:p w:rsidR="00B0268C" w:rsidRDefault="00C408FB">
      <w:pPr>
        <w:ind w:left="214"/>
        <w:rPr>
          <w:sz w:val="20"/>
        </w:rPr>
      </w:pPr>
      <w:proofErr w:type="gramStart"/>
      <w:r>
        <w:rPr>
          <w:sz w:val="20"/>
        </w:rPr>
        <w:t>n</w:t>
      </w:r>
      <w:proofErr w:type="gramEnd"/>
      <w:r>
        <w:rPr>
          <w:sz w:val="20"/>
        </w:rPr>
        <w:t>: Total number of patients compliant; d: Total no patients (not having withdrawn from the trial)</w:t>
      </w:r>
    </w:p>
    <w:p w:rsidR="00B0268C" w:rsidRDefault="00B0268C">
      <w:pPr>
        <w:rPr>
          <w:sz w:val="20"/>
        </w:rPr>
        <w:sectPr w:rsidR="00B0268C">
          <w:pgSz w:w="11910" w:h="16840"/>
          <w:pgMar w:top="1040" w:right="1200" w:bottom="1660" w:left="1260" w:header="712" w:footer="1442" w:gutter="0"/>
          <w:cols w:space="720"/>
        </w:sectPr>
      </w:pPr>
    </w:p>
    <w:p w:rsidR="00B0268C" w:rsidRDefault="00C408FB">
      <w:pPr>
        <w:pStyle w:val="Heading2"/>
        <w:numPr>
          <w:ilvl w:val="2"/>
          <w:numId w:val="4"/>
        </w:numPr>
        <w:tabs>
          <w:tab w:val="left" w:pos="1653"/>
          <w:tab w:val="left" w:pos="1654"/>
        </w:tabs>
        <w:spacing w:before="86"/>
        <w:rPr>
          <w:rFonts w:ascii="Times New Roman"/>
        </w:rPr>
      </w:pPr>
      <w:r>
        <w:rPr>
          <w:rFonts w:ascii="Times New Roman"/>
        </w:rPr>
        <w:lastRenderedPageBreak/>
        <w:t>Remaining</w:t>
      </w:r>
      <w:r>
        <w:rPr>
          <w:rFonts w:ascii="Times New Roman"/>
          <w:spacing w:val="-1"/>
        </w:rPr>
        <w:t xml:space="preserve"> </w:t>
      </w:r>
      <w:r>
        <w:rPr>
          <w:rFonts w:ascii="Times New Roman"/>
        </w:rPr>
        <w:t>weeks</w:t>
      </w:r>
    </w:p>
    <w:p w:rsidR="00B0268C" w:rsidRDefault="00B0268C">
      <w:pPr>
        <w:pStyle w:val="BodyText"/>
        <w:spacing w:before="3"/>
        <w:rPr>
          <w:b/>
        </w:rPr>
      </w:pPr>
    </w:p>
    <w:tbl>
      <w:tblPr>
        <w:tblW w:w="0" w:type="auto"/>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3"/>
        <w:gridCol w:w="2076"/>
        <w:gridCol w:w="2695"/>
        <w:gridCol w:w="2268"/>
      </w:tblGrid>
      <w:tr w:rsidR="00B0268C">
        <w:trPr>
          <w:trHeight w:val="580"/>
        </w:trPr>
        <w:tc>
          <w:tcPr>
            <w:tcW w:w="1183" w:type="dxa"/>
            <w:shd w:val="clear" w:color="auto" w:fill="D9D9D9"/>
          </w:tcPr>
          <w:p w:rsidR="00B0268C" w:rsidRDefault="00C408FB">
            <w:pPr>
              <w:pStyle w:val="TableParagraph"/>
              <w:spacing w:line="261" w:lineRule="exact"/>
              <w:ind w:left="107"/>
              <w:rPr>
                <w:sz w:val="23"/>
              </w:rPr>
            </w:pPr>
            <w:r>
              <w:rPr>
                <w:sz w:val="23"/>
              </w:rPr>
              <w:t>Weeks:</w:t>
            </w:r>
          </w:p>
        </w:tc>
        <w:tc>
          <w:tcPr>
            <w:tcW w:w="2076" w:type="dxa"/>
            <w:shd w:val="clear" w:color="auto" w:fill="D9D9D9"/>
          </w:tcPr>
          <w:p w:rsidR="00B0268C" w:rsidRDefault="00C408FB">
            <w:pPr>
              <w:pStyle w:val="TableParagraph"/>
              <w:spacing w:line="261" w:lineRule="exact"/>
              <w:ind w:left="322" w:right="310"/>
              <w:jc w:val="center"/>
              <w:rPr>
                <w:sz w:val="23"/>
              </w:rPr>
            </w:pPr>
            <w:r>
              <w:rPr>
                <w:sz w:val="23"/>
              </w:rPr>
              <w:t xml:space="preserve">Arm </w:t>
            </w:r>
            <w:proofErr w:type="spellStart"/>
            <w:r>
              <w:rPr>
                <w:sz w:val="23"/>
              </w:rPr>
              <w:t>Ia</w:t>
            </w:r>
            <w:proofErr w:type="spellEnd"/>
            <w:r>
              <w:rPr>
                <w:sz w:val="23"/>
              </w:rPr>
              <w:t>/ Active</w:t>
            </w:r>
          </w:p>
          <w:p w:rsidR="00B0268C" w:rsidRDefault="00C408FB">
            <w:pPr>
              <w:pStyle w:val="TableParagraph"/>
              <w:spacing w:line="264" w:lineRule="exact"/>
              <w:ind w:left="322" w:right="308"/>
              <w:jc w:val="center"/>
              <w:rPr>
                <w:sz w:val="23"/>
              </w:rPr>
            </w:pPr>
            <w:r>
              <w:rPr>
                <w:sz w:val="23"/>
              </w:rPr>
              <w:t>% (n/d)</w:t>
            </w:r>
          </w:p>
        </w:tc>
        <w:tc>
          <w:tcPr>
            <w:tcW w:w="2695" w:type="dxa"/>
            <w:shd w:val="clear" w:color="auto" w:fill="D9D9D9"/>
          </w:tcPr>
          <w:p w:rsidR="00B0268C" w:rsidRDefault="00C408FB">
            <w:pPr>
              <w:pStyle w:val="TableParagraph"/>
              <w:spacing w:line="261" w:lineRule="exact"/>
              <w:ind w:left="625" w:right="614"/>
              <w:jc w:val="center"/>
              <w:rPr>
                <w:sz w:val="23"/>
              </w:rPr>
            </w:pPr>
            <w:r>
              <w:rPr>
                <w:sz w:val="23"/>
              </w:rPr>
              <w:t xml:space="preserve">Arm </w:t>
            </w:r>
            <w:proofErr w:type="spellStart"/>
            <w:r>
              <w:rPr>
                <w:sz w:val="23"/>
              </w:rPr>
              <w:t>Ib</w:t>
            </w:r>
            <w:proofErr w:type="spellEnd"/>
            <w:r>
              <w:rPr>
                <w:sz w:val="23"/>
              </w:rPr>
              <w:t>/ Active</w:t>
            </w:r>
          </w:p>
          <w:p w:rsidR="00B0268C" w:rsidRDefault="00C408FB">
            <w:pPr>
              <w:pStyle w:val="TableParagraph"/>
              <w:spacing w:line="264" w:lineRule="exact"/>
              <w:ind w:left="625" w:right="609"/>
              <w:jc w:val="center"/>
              <w:rPr>
                <w:sz w:val="23"/>
              </w:rPr>
            </w:pPr>
            <w:r>
              <w:rPr>
                <w:sz w:val="23"/>
              </w:rPr>
              <w:t>% (n/d)</w:t>
            </w:r>
          </w:p>
        </w:tc>
        <w:tc>
          <w:tcPr>
            <w:tcW w:w="2268" w:type="dxa"/>
            <w:shd w:val="clear" w:color="auto" w:fill="D9D9D9"/>
          </w:tcPr>
          <w:p w:rsidR="00B0268C" w:rsidRDefault="00C408FB">
            <w:pPr>
              <w:pStyle w:val="TableParagraph"/>
              <w:spacing w:line="261" w:lineRule="exact"/>
              <w:ind w:left="387" w:right="374"/>
              <w:jc w:val="center"/>
              <w:rPr>
                <w:sz w:val="23"/>
              </w:rPr>
            </w:pPr>
            <w:r>
              <w:rPr>
                <w:sz w:val="23"/>
              </w:rPr>
              <w:t>Arm C/ Control</w:t>
            </w:r>
          </w:p>
          <w:p w:rsidR="00B0268C" w:rsidRDefault="00C408FB">
            <w:pPr>
              <w:pStyle w:val="TableParagraph"/>
              <w:spacing w:line="264" w:lineRule="exact"/>
              <w:ind w:left="387" w:right="374"/>
              <w:jc w:val="center"/>
              <w:rPr>
                <w:sz w:val="23"/>
              </w:rPr>
            </w:pPr>
            <w:r>
              <w:rPr>
                <w:sz w:val="23"/>
              </w:rPr>
              <w:t>% (n/d)</w:t>
            </w:r>
          </w:p>
        </w:tc>
      </w:tr>
      <w:tr w:rsidR="00B0268C">
        <w:trPr>
          <w:trHeight w:val="261"/>
        </w:trPr>
        <w:tc>
          <w:tcPr>
            <w:tcW w:w="1183" w:type="dxa"/>
            <w:tcBorders>
              <w:bottom w:val="nil"/>
            </w:tcBorders>
          </w:tcPr>
          <w:p w:rsidR="00B0268C" w:rsidRDefault="00C408FB">
            <w:pPr>
              <w:pStyle w:val="TableParagraph"/>
              <w:spacing w:line="241" w:lineRule="exact"/>
              <w:ind w:left="107"/>
              <w:rPr>
                <w:sz w:val="23"/>
              </w:rPr>
            </w:pPr>
            <w:r>
              <w:rPr>
                <w:sz w:val="23"/>
              </w:rPr>
              <w:t>24</w:t>
            </w:r>
          </w:p>
        </w:tc>
        <w:tc>
          <w:tcPr>
            <w:tcW w:w="2076" w:type="dxa"/>
            <w:vMerge w:val="restart"/>
          </w:tcPr>
          <w:p w:rsidR="00B0268C" w:rsidRDefault="00B0268C">
            <w:pPr>
              <w:pStyle w:val="TableParagraph"/>
            </w:pPr>
          </w:p>
        </w:tc>
        <w:tc>
          <w:tcPr>
            <w:tcW w:w="2695" w:type="dxa"/>
            <w:vMerge w:val="restart"/>
          </w:tcPr>
          <w:p w:rsidR="00B0268C" w:rsidRDefault="00B0268C">
            <w:pPr>
              <w:pStyle w:val="TableParagraph"/>
            </w:pPr>
          </w:p>
        </w:tc>
        <w:tc>
          <w:tcPr>
            <w:tcW w:w="2268" w:type="dxa"/>
            <w:vMerge w:val="restart"/>
          </w:tcPr>
          <w:p w:rsidR="00B0268C" w:rsidRDefault="00B0268C">
            <w:pPr>
              <w:pStyle w:val="TableParagraph"/>
            </w:pPr>
          </w:p>
        </w:tc>
      </w:tr>
      <w:tr w:rsidR="00B0268C">
        <w:trPr>
          <w:trHeight w:val="260"/>
        </w:trPr>
        <w:tc>
          <w:tcPr>
            <w:tcW w:w="1183" w:type="dxa"/>
            <w:tcBorders>
              <w:top w:val="nil"/>
              <w:bottom w:val="nil"/>
            </w:tcBorders>
          </w:tcPr>
          <w:p w:rsidR="00B0268C" w:rsidRDefault="00C408FB">
            <w:pPr>
              <w:pStyle w:val="TableParagraph"/>
              <w:spacing w:line="240" w:lineRule="exact"/>
              <w:ind w:left="107"/>
              <w:rPr>
                <w:sz w:val="23"/>
              </w:rPr>
            </w:pPr>
            <w:r>
              <w:rPr>
                <w:sz w:val="23"/>
              </w:rPr>
              <w:t>52</w:t>
            </w:r>
          </w:p>
        </w:tc>
        <w:tc>
          <w:tcPr>
            <w:tcW w:w="2076" w:type="dxa"/>
            <w:vMerge/>
            <w:tcBorders>
              <w:top w:val="nil"/>
            </w:tcBorders>
          </w:tcPr>
          <w:p w:rsidR="00B0268C" w:rsidRDefault="00B0268C">
            <w:pPr>
              <w:rPr>
                <w:sz w:val="2"/>
                <w:szCs w:val="2"/>
              </w:rPr>
            </w:pPr>
          </w:p>
        </w:tc>
        <w:tc>
          <w:tcPr>
            <w:tcW w:w="2695" w:type="dxa"/>
            <w:vMerge/>
            <w:tcBorders>
              <w:top w:val="nil"/>
            </w:tcBorders>
          </w:tcPr>
          <w:p w:rsidR="00B0268C" w:rsidRDefault="00B0268C">
            <w:pPr>
              <w:rPr>
                <w:sz w:val="2"/>
                <w:szCs w:val="2"/>
              </w:rPr>
            </w:pPr>
          </w:p>
        </w:tc>
        <w:tc>
          <w:tcPr>
            <w:tcW w:w="2268" w:type="dxa"/>
            <w:vMerge/>
            <w:tcBorders>
              <w:top w:val="nil"/>
            </w:tcBorders>
          </w:tcPr>
          <w:p w:rsidR="00B0268C" w:rsidRDefault="00B0268C">
            <w:pPr>
              <w:rPr>
                <w:sz w:val="2"/>
                <w:szCs w:val="2"/>
              </w:rPr>
            </w:pPr>
          </w:p>
        </w:tc>
      </w:tr>
      <w:tr w:rsidR="00B0268C">
        <w:trPr>
          <w:trHeight w:val="260"/>
        </w:trPr>
        <w:tc>
          <w:tcPr>
            <w:tcW w:w="1183" w:type="dxa"/>
            <w:tcBorders>
              <w:top w:val="nil"/>
              <w:bottom w:val="nil"/>
            </w:tcBorders>
          </w:tcPr>
          <w:p w:rsidR="00B0268C" w:rsidRDefault="00C408FB">
            <w:pPr>
              <w:pStyle w:val="TableParagraph"/>
              <w:spacing w:line="240" w:lineRule="exact"/>
              <w:ind w:left="107"/>
              <w:rPr>
                <w:sz w:val="23"/>
              </w:rPr>
            </w:pPr>
            <w:r>
              <w:rPr>
                <w:sz w:val="23"/>
              </w:rPr>
              <w:t>76</w:t>
            </w:r>
          </w:p>
        </w:tc>
        <w:tc>
          <w:tcPr>
            <w:tcW w:w="2076" w:type="dxa"/>
            <w:vMerge/>
            <w:tcBorders>
              <w:top w:val="nil"/>
            </w:tcBorders>
          </w:tcPr>
          <w:p w:rsidR="00B0268C" w:rsidRDefault="00B0268C">
            <w:pPr>
              <w:rPr>
                <w:sz w:val="2"/>
                <w:szCs w:val="2"/>
              </w:rPr>
            </w:pPr>
          </w:p>
        </w:tc>
        <w:tc>
          <w:tcPr>
            <w:tcW w:w="2695" w:type="dxa"/>
            <w:vMerge/>
            <w:tcBorders>
              <w:top w:val="nil"/>
            </w:tcBorders>
          </w:tcPr>
          <w:p w:rsidR="00B0268C" w:rsidRDefault="00B0268C">
            <w:pPr>
              <w:rPr>
                <w:sz w:val="2"/>
                <w:szCs w:val="2"/>
              </w:rPr>
            </w:pPr>
          </w:p>
        </w:tc>
        <w:tc>
          <w:tcPr>
            <w:tcW w:w="2268" w:type="dxa"/>
            <w:vMerge/>
            <w:tcBorders>
              <w:top w:val="nil"/>
            </w:tcBorders>
          </w:tcPr>
          <w:p w:rsidR="00B0268C" w:rsidRDefault="00B0268C">
            <w:pPr>
              <w:rPr>
                <w:sz w:val="2"/>
                <w:szCs w:val="2"/>
              </w:rPr>
            </w:pPr>
          </w:p>
        </w:tc>
      </w:tr>
      <w:tr w:rsidR="00B0268C">
        <w:trPr>
          <w:trHeight w:val="262"/>
        </w:trPr>
        <w:tc>
          <w:tcPr>
            <w:tcW w:w="1183" w:type="dxa"/>
            <w:tcBorders>
              <w:top w:val="nil"/>
              <w:bottom w:val="nil"/>
            </w:tcBorders>
          </w:tcPr>
          <w:p w:rsidR="00B0268C" w:rsidRDefault="00C408FB">
            <w:pPr>
              <w:pStyle w:val="TableParagraph"/>
              <w:spacing w:line="242" w:lineRule="exact"/>
              <w:ind w:left="107"/>
              <w:rPr>
                <w:sz w:val="23"/>
              </w:rPr>
            </w:pPr>
            <w:r>
              <w:rPr>
                <w:sz w:val="23"/>
              </w:rPr>
              <w:t>100</w:t>
            </w:r>
          </w:p>
        </w:tc>
        <w:tc>
          <w:tcPr>
            <w:tcW w:w="2076" w:type="dxa"/>
            <w:vMerge/>
            <w:tcBorders>
              <w:top w:val="nil"/>
            </w:tcBorders>
          </w:tcPr>
          <w:p w:rsidR="00B0268C" w:rsidRDefault="00B0268C">
            <w:pPr>
              <w:rPr>
                <w:sz w:val="2"/>
                <w:szCs w:val="2"/>
              </w:rPr>
            </w:pPr>
          </w:p>
        </w:tc>
        <w:tc>
          <w:tcPr>
            <w:tcW w:w="2695" w:type="dxa"/>
            <w:vMerge/>
            <w:tcBorders>
              <w:top w:val="nil"/>
            </w:tcBorders>
          </w:tcPr>
          <w:p w:rsidR="00B0268C" w:rsidRDefault="00B0268C">
            <w:pPr>
              <w:rPr>
                <w:sz w:val="2"/>
                <w:szCs w:val="2"/>
              </w:rPr>
            </w:pPr>
          </w:p>
        </w:tc>
        <w:tc>
          <w:tcPr>
            <w:tcW w:w="2268" w:type="dxa"/>
            <w:vMerge/>
            <w:tcBorders>
              <w:top w:val="nil"/>
            </w:tcBorders>
          </w:tcPr>
          <w:p w:rsidR="00B0268C" w:rsidRDefault="00B0268C">
            <w:pPr>
              <w:rPr>
                <w:sz w:val="2"/>
                <w:szCs w:val="2"/>
              </w:rPr>
            </w:pPr>
          </w:p>
        </w:tc>
      </w:tr>
      <w:tr w:rsidR="00B0268C">
        <w:trPr>
          <w:trHeight w:val="266"/>
        </w:trPr>
        <w:tc>
          <w:tcPr>
            <w:tcW w:w="1183" w:type="dxa"/>
            <w:tcBorders>
              <w:top w:val="nil"/>
            </w:tcBorders>
          </w:tcPr>
          <w:p w:rsidR="00B0268C" w:rsidRDefault="00C408FB">
            <w:pPr>
              <w:pStyle w:val="TableParagraph"/>
              <w:spacing w:line="247" w:lineRule="exact"/>
              <w:ind w:left="107"/>
              <w:rPr>
                <w:b/>
                <w:sz w:val="23"/>
              </w:rPr>
            </w:pPr>
            <w:r>
              <w:rPr>
                <w:b/>
                <w:sz w:val="23"/>
              </w:rPr>
              <w:t>Total</w:t>
            </w:r>
          </w:p>
        </w:tc>
        <w:tc>
          <w:tcPr>
            <w:tcW w:w="2076" w:type="dxa"/>
            <w:vMerge/>
            <w:tcBorders>
              <w:top w:val="nil"/>
            </w:tcBorders>
          </w:tcPr>
          <w:p w:rsidR="00B0268C" w:rsidRDefault="00B0268C">
            <w:pPr>
              <w:rPr>
                <w:sz w:val="2"/>
                <w:szCs w:val="2"/>
              </w:rPr>
            </w:pPr>
          </w:p>
        </w:tc>
        <w:tc>
          <w:tcPr>
            <w:tcW w:w="2695" w:type="dxa"/>
            <w:vMerge/>
            <w:tcBorders>
              <w:top w:val="nil"/>
            </w:tcBorders>
          </w:tcPr>
          <w:p w:rsidR="00B0268C" w:rsidRDefault="00B0268C">
            <w:pPr>
              <w:rPr>
                <w:sz w:val="2"/>
                <w:szCs w:val="2"/>
              </w:rPr>
            </w:pPr>
          </w:p>
        </w:tc>
        <w:tc>
          <w:tcPr>
            <w:tcW w:w="2268" w:type="dxa"/>
            <w:vMerge/>
            <w:tcBorders>
              <w:top w:val="nil"/>
            </w:tcBorders>
          </w:tcPr>
          <w:p w:rsidR="00B0268C" w:rsidRDefault="00B0268C">
            <w:pPr>
              <w:rPr>
                <w:sz w:val="2"/>
                <w:szCs w:val="2"/>
              </w:rPr>
            </w:pPr>
          </w:p>
        </w:tc>
      </w:tr>
    </w:tbl>
    <w:p w:rsidR="00B0268C" w:rsidRDefault="00C408FB">
      <w:pPr>
        <w:ind w:left="214"/>
        <w:rPr>
          <w:sz w:val="20"/>
        </w:rPr>
      </w:pPr>
      <w:proofErr w:type="gramStart"/>
      <w:r>
        <w:rPr>
          <w:sz w:val="20"/>
        </w:rPr>
        <w:t>n</w:t>
      </w:r>
      <w:proofErr w:type="gramEnd"/>
      <w:r>
        <w:rPr>
          <w:sz w:val="20"/>
        </w:rPr>
        <w:t>: Total number of patients compliant; d: Total no patients (not having withdrawn from the trial)</w:t>
      </w:r>
    </w:p>
    <w:p w:rsidR="00B0268C" w:rsidRDefault="00B0268C">
      <w:pPr>
        <w:pStyle w:val="BodyText"/>
        <w:rPr>
          <w:sz w:val="22"/>
        </w:rPr>
      </w:pPr>
    </w:p>
    <w:p w:rsidR="00B0268C" w:rsidRDefault="00B0268C">
      <w:pPr>
        <w:pStyle w:val="BodyText"/>
        <w:spacing w:before="4"/>
        <w:rPr>
          <w:sz w:val="22"/>
        </w:rPr>
      </w:pPr>
    </w:p>
    <w:p w:rsidR="00B0268C" w:rsidRDefault="00C408FB">
      <w:pPr>
        <w:pStyle w:val="Heading2"/>
        <w:numPr>
          <w:ilvl w:val="1"/>
          <w:numId w:val="4"/>
        </w:numPr>
        <w:tabs>
          <w:tab w:val="left" w:pos="934"/>
        </w:tabs>
        <w:rPr>
          <w:rFonts w:ascii="Times New Roman"/>
        </w:rPr>
      </w:pPr>
      <w:r>
        <w:rPr>
          <w:rFonts w:ascii="Times New Roman"/>
        </w:rPr>
        <w:t>Outcomes</w:t>
      </w:r>
    </w:p>
    <w:p w:rsidR="00B0268C" w:rsidRDefault="00B0268C">
      <w:pPr>
        <w:pStyle w:val="BodyText"/>
        <w:spacing w:before="7"/>
        <w:rPr>
          <w:b/>
          <w:sz w:val="20"/>
        </w:rPr>
      </w:pPr>
    </w:p>
    <w:p w:rsidR="00B0268C" w:rsidRDefault="00C408FB">
      <w:pPr>
        <w:ind w:left="574"/>
        <w:rPr>
          <w:sz w:val="23"/>
        </w:rPr>
      </w:pPr>
      <w:r>
        <w:rPr>
          <w:b/>
          <w:sz w:val="23"/>
        </w:rPr>
        <w:t xml:space="preserve">Primary outcome </w:t>
      </w:r>
      <w:r>
        <w:rPr>
          <w:sz w:val="23"/>
        </w:rPr>
        <w:t>- Visual acuity using the ETDRS letter scoring tool</w:t>
      </w:r>
    </w:p>
    <w:p w:rsidR="00B0268C" w:rsidRDefault="00B0268C">
      <w:pPr>
        <w:pStyle w:val="BodyText"/>
        <w:spacing w:before="6"/>
      </w:pPr>
    </w:p>
    <w:tbl>
      <w:tblPr>
        <w:tblW w:w="0" w:type="auto"/>
        <w:tblInd w:w="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7"/>
        <w:gridCol w:w="1220"/>
        <w:gridCol w:w="1133"/>
        <w:gridCol w:w="1136"/>
        <w:gridCol w:w="994"/>
        <w:gridCol w:w="1275"/>
        <w:gridCol w:w="1133"/>
        <w:gridCol w:w="1282"/>
      </w:tblGrid>
      <w:tr w:rsidR="00B0268C">
        <w:trPr>
          <w:trHeight w:val="1058"/>
        </w:trPr>
        <w:tc>
          <w:tcPr>
            <w:tcW w:w="907" w:type="dxa"/>
            <w:shd w:val="clear" w:color="auto" w:fill="D9D9D9"/>
          </w:tcPr>
          <w:p w:rsidR="00B0268C" w:rsidRDefault="00C408FB">
            <w:pPr>
              <w:pStyle w:val="TableParagraph"/>
              <w:spacing w:line="259" w:lineRule="exact"/>
              <w:ind w:left="107"/>
              <w:rPr>
                <w:sz w:val="23"/>
              </w:rPr>
            </w:pPr>
            <w:r>
              <w:rPr>
                <w:sz w:val="23"/>
              </w:rPr>
              <w:t>Weeks:</w:t>
            </w:r>
          </w:p>
        </w:tc>
        <w:tc>
          <w:tcPr>
            <w:tcW w:w="1220" w:type="dxa"/>
            <w:shd w:val="clear" w:color="auto" w:fill="D9D9D9"/>
          </w:tcPr>
          <w:p w:rsidR="00B0268C" w:rsidRDefault="00C408FB">
            <w:pPr>
              <w:pStyle w:val="TableParagraph"/>
              <w:ind w:left="302" w:right="239" w:hanging="56"/>
              <w:jc w:val="both"/>
              <w:rPr>
                <w:sz w:val="23"/>
              </w:rPr>
            </w:pPr>
            <w:r>
              <w:rPr>
                <w:sz w:val="23"/>
              </w:rPr>
              <w:t xml:space="preserve">Arm </w:t>
            </w:r>
            <w:proofErr w:type="spellStart"/>
            <w:r>
              <w:rPr>
                <w:spacing w:val="-6"/>
                <w:sz w:val="23"/>
              </w:rPr>
              <w:t>Ia</w:t>
            </w:r>
            <w:proofErr w:type="spellEnd"/>
            <w:r>
              <w:rPr>
                <w:spacing w:val="-6"/>
                <w:sz w:val="23"/>
              </w:rPr>
              <w:t xml:space="preserve">/ </w:t>
            </w:r>
            <w:r>
              <w:rPr>
                <w:sz w:val="23"/>
              </w:rPr>
              <w:t>Active Mean</w:t>
            </w:r>
          </w:p>
          <w:p w:rsidR="00B0268C" w:rsidRDefault="00C408FB">
            <w:pPr>
              <w:pStyle w:val="TableParagraph"/>
              <w:spacing w:line="250" w:lineRule="exact"/>
              <w:ind w:left="386"/>
              <w:rPr>
                <w:sz w:val="23"/>
              </w:rPr>
            </w:pPr>
            <w:r>
              <w:rPr>
                <w:sz w:val="23"/>
              </w:rPr>
              <w:t>(SD)</w:t>
            </w:r>
          </w:p>
        </w:tc>
        <w:tc>
          <w:tcPr>
            <w:tcW w:w="1133" w:type="dxa"/>
            <w:shd w:val="clear" w:color="auto" w:fill="D9D9D9"/>
          </w:tcPr>
          <w:p w:rsidR="00B0268C" w:rsidRDefault="00C408FB">
            <w:pPr>
              <w:pStyle w:val="TableParagraph"/>
              <w:ind w:left="258" w:right="188" w:hanging="60"/>
              <w:jc w:val="both"/>
              <w:rPr>
                <w:sz w:val="23"/>
              </w:rPr>
            </w:pPr>
            <w:r>
              <w:rPr>
                <w:sz w:val="23"/>
              </w:rPr>
              <w:t xml:space="preserve">Arm </w:t>
            </w:r>
            <w:proofErr w:type="spellStart"/>
            <w:r>
              <w:rPr>
                <w:spacing w:val="-6"/>
                <w:sz w:val="23"/>
              </w:rPr>
              <w:t>Ib</w:t>
            </w:r>
            <w:proofErr w:type="spellEnd"/>
            <w:r>
              <w:rPr>
                <w:spacing w:val="-6"/>
                <w:sz w:val="23"/>
              </w:rPr>
              <w:t xml:space="preserve">/ </w:t>
            </w:r>
            <w:r>
              <w:rPr>
                <w:sz w:val="23"/>
              </w:rPr>
              <w:t>Active Mean</w:t>
            </w:r>
          </w:p>
          <w:p w:rsidR="00B0268C" w:rsidRDefault="00C408FB">
            <w:pPr>
              <w:pStyle w:val="TableParagraph"/>
              <w:spacing w:line="250" w:lineRule="exact"/>
              <w:ind w:left="342"/>
              <w:rPr>
                <w:sz w:val="23"/>
              </w:rPr>
            </w:pPr>
            <w:r>
              <w:rPr>
                <w:sz w:val="23"/>
              </w:rPr>
              <w:t>(SD)</w:t>
            </w:r>
          </w:p>
        </w:tc>
        <w:tc>
          <w:tcPr>
            <w:tcW w:w="1136" w:type="dxa"/>
            <w:shd w:val="clear" w:color="auto" w:fill="D9D9D9"/>
          </w:tcPr>
          <w:p w:rsidR="00B0268C" w:rsidRDefault="00C408FB">
            <w:pPr>
              <w:pStyle w:val="TableParagraph"/>
              <w:ind w:left="215" w:right="205" w:firstLine="2"/>
              <w:jc w:val="both"/>
              <w:rPr>
                <w:sz w:val="23"/>
              </w:rPr>
            </w:pPr>
            <w:r>
              <w:rPr>
                <w:sz w:val="23"/>
              </w:rPr>
              <w:t>Arm C/ Control Mean</w:t>
            </w:r>
          </w:p>
          <w:p w:rsidR="00B0268C" w:rsidRDefault="00C408FB">
            <w:pPr>
              <w:pStyle w:val="TableParagraph"/>
              <w:spacing w:line="250" w:lineRule="exact"/>
              <w:ind w:left="345"/>
              <w:rPr>
                <w:sz w:val="23"/>
              </w:rPr>
            </w:pPr>
            <w:r>
              <w:rPr>
                <w:sz w:val="23"/>
              </w:rPr>
              <w:t>(SD)</w:t>
            </w:r>
          </w:p>
        </w:tc>
        <w:tc>
          <w:tcPr>
            <w:tcW w:w="994" w:type="dxa"/>
            <w:shd w:val="clear" w:color="auto" w:fill="D9D9D9"/>
          </w:tcPr>
          <w:p w:rsidR="00B0268C" w:rsidRDefault="00C408FB">
            <w:pPr>
              <w:pStyle w:val="TableParagraph"/>
              <w:ind w:left="157" w:right="149" w:firstLine="12"/>
              <w:rPr>
                <w:sz w:val="23"/>
              </w:rPr>
            </w:pPr>
            <w:proofErr w:type="spellStart"/>
            <w:r>
              <w:rPr>
                <w:sz w:val="23"/>
              </w:rPr>
              <w:t>Ia</w:t>
            </w:r>
            <w:proofErr w:type="spellEnd"/>
            <w:r>
              <w:rPr>
                <w:sz w:val="23"/>
              </w:rPr>
              <w:t xml:space="preserve"> vs C z-value</w:t>
            </w:r>
          </w:p>
        </w:tc>
        <w:tc>
          <w:tcPr>
            <w:tcW w:w="1275" w:type="dxa"/>
            <w:shd w:val="clear" w:color="auto" w:fill="D9D9D9"/>
          </w:tcPr>
          <w:p w:rsidR="00B0268C" w:rsidRDefault="00C408FB">
            <w:pPr>
              <w:pStyle w:val="TableParagraph"/>
              <w:ind w:left="281" w:right="254" w:firstLine="26"/>
              <w:rPr>
                <w:sz w:val="23"/>
              </w:rPr>
            </w:pPr>
            <w:proofErr w:type="spellStart"/>
            <w:r>
              <w:rPr>
                <w:sz w:val="23"/>
              </w:rPr>
              <w:t>Ia</w:t>
            </w:r>
            <w:proofErr w:type="spellEnd"/>
            <w:r>
              <w:rPr>
                <w:sz w:val="23"/>
              </w:rPr>
              <w:t xml:space="preserve"> vs C 95% CI</w:t>
            </w:r>
          </w:p>
        </w:tc>
        <w:tc>
          <w:tcPr>
            <w:tcW w:w="1133" w:type="dxa"/>
            <w:shd w:val="clear" w:color="auto" w:fill="D9D9D9"/>
          </w:tcPr>
          <w:p w:rsidR="00B0268C" w:rsidRDefault="00C408FB">
            <w:pPr>
              <w:pStyle w:val="TableParagraph"/>
              <w:ind w:left="226" w:right="218" w:firstLine="4"/>
              <w:rPr>
                <w:sz w:val="23"/>
              </w:rPr>
            </w:pPr>
            <w:proofErr w:type="spellStart"/>
            <w:r>
              <w:rPr>
                <w:sz w:val="23"/>
              </w:rPr>
              <w:t>Ib</w:t>
            </w:r>
            <w:proofErr w:type="spellEnd"/>
            <w:r>
              <w:rPr>
                <w:sz w:val="23"/>
              </w:rPr>
              <w:t xml:space="preserve"> vs C z-value</w:t>
            </w:r>
          </w:p>
        </w:tc>
        <w:tc>
          <w:tcPr>
            <w:tcW w:w="1282" w:type="dxa"/>
            <w:shd w:val="clear" w:color="auto" w:fill="D9D9D9"/>
          </w:tcPr>
          <w:p w:rsidR="00B0268C" w:rsidRDefault="00C408FB">
            <w:pPr>
              <w:pStyle w:val="TableParagraph"/>
              <w:ind w:left="286" w:right="256" w:firstLine="21"/>
              <w:rPr>
                <w:sz w:val="23"/>
              </w:rPr>
            </w:pPr>
            <w:proofErr w:type="spellStart"/>
            <w:r>
              <w:rPr>
                <w:sz w:val="23"/>
              </w:rPr>
              <w:t>Ib</w:t>
            </w:r>
            <w:proofErr w:type="spellEnd"/>
            <w:r>
              <w:rPr>
                <w:sz w:val="23"/>
              </w:rPr>
              <w:t xml:space="preserve"> vs C 95% CI</w:t>
            </w:r>
          </w:p>
        </w:tc>
      </w:tr>
      <w:tr w:rsidR="00B0268C">
        <w:trPr>
          <w:trHeight w:val="257"/>
        </w:trPr>
        <w:tc>
          <w:tcPr>
            <w:tcW w:w="907" w:type="dxa"/>
            <w:tcBorders>
              <w:bottom w:val="nil"/>
            </w:tcBorders>
          </w:tcPr>
          <w:p w:rsidR="00B0268C" w:rsidRDefault="00C408FB">
            <w:pPr>
              <w:pStyle w:val="TableParagraph"/>
              <w:spacing w:line="238" w:lineRule="exact"/>
              <w:ind w:left="107"/>
              <w:rPr>
                <w:sz w:val="23"/>
              </w:rPr>
            </w:pPr>
            <w:r>
              <w:rPr>
                <w:sz w:val="23"/>
              </w:rPr>
              <w:t>24</w:t>
            </w:r>
          </w:p>
        </w:tc>
        <w:tc>
          <w:tcPr>
            <w:tcW w:w="1220" w:type="dxa"/>
            <w:vMerge w:val="restart"/>
          </w:tcPr>
          <w:p w:rsidR="00B0268C" w:rsidRDefault="00B0268C">
            <w:pPr>
              <w:pStyle w:val="TableParagraph"/>
            </w:pPr>
          </w:p>
        </w:tc>
        <w:tc>
          <w:tcPr>
            <w:tcW w:w="1133" w:type="dxa"/>
            <w:vMerge w:val="restart"/>
          </w:tcPr>
          <w:p w:rsidR="00B0268C" w:rsidRDefault="00B0268C">
            <w:pPr>
              <w:pStyle w:val="TableParagraph"/>
            </w:pPr>
          </w:p>
        </w:tc>
        <w:tc>
          <w:tcPr>
            <w:tcW w:w="1136" w:type="dxa"/>
            <w:vMerge w:val="restart"/>
          </w:tcPr>
          <w:p w:rsidR="00B0268C" w:rsidRDefault="00B0268C">
            <w:pPr>
              <w:pStyle w:val="TableParagraph"/>
            </w:pPr>
          </w:p>
        </w:tc>
        <w:tc>
          <w:tcPr>
            <w:tcW w:w="994" w:type="dxa"/>
            <w:vMerge w:val="restart"/>
          </w:tcPr>
          <w:p w:rsidR="00B0268C" w:rsidRDefault="00B0268C">
            <w:pPr>
              <w:pStyle w:val="TableParagraph"/>
            </w:pPr>
          </w:p>
        </w:tc>
        <w:tc>
          <w:tcPr>
            <w:tcW w:w="1275" w:type="dxa"/>
            <w:vMerge w:val="restart"/>
          </w:tcPr>
          <w:p w:rsidR="00B0268C" w:rsidRDefault="00B0268C">
            <w:pPr>
              <w:pStyle w:val="TableParagraph"/>
            </w:pPr>
          </w:p>
        </w:tc>
        <w:tc>
          <w:tcPr>
            <w:tcW w:w="1133" w:type="dxa"/>
            <w:vMerge w:val="restart"/>
          </w:tcPr>
          <w:p w:rsidR="00B0268C" w:rsidRDefault="00B0268C">
            <w:pPr>
              <w:pStyle w:val="TableParagraph"/>
            </w:pPr>
          </w:p>
        </w:tc>
        <w:tc>
          <w:tcPr>
            <w:tcW w:w="1282" w:type="dxa"/>
            <w:vMerge w:val="restart"/>
          </w:tcPr>
          <w:p w:rsidR="00B0268C" w:rsidRDefault="00B0268C">
            <w:pPr>
              <w:pStyle w:val="TableParagraph"/>
            </w:pPr>
          </w:p>
        </w:tc>
      </w:tr>
      <w:tr w:rsidR="00B0268C">
        <w:trPr>
          <w:trHeight w:val="255"/>
        </w:trPr>
        <w:tc>
          <w:tcPr>
            <w:tcW w:w="907" w:type="dxa"/>
            <w:tcBorders>
              <w:top w:val="nil"/>
              <w:bottom w:val="nil"/>
            </w:tcBorders>
          </w:tcPr>
          <w:p w:rsidR="00B0268C" w:rsidRDefault="00C408FB">
            <w:pPr>
              <w:pStyle w:val="TableParagraph"/>
              <w:spacing w:line="235" w:lineRule="exact"/>
              <w:ind w:left="107"/>
              <w:rPr>
                <w:sz w:val="23"/>
              </w:rPr>
            </w:pPr>
            <w:r>
              <w:rPr>
                <w:sz w:val="23"/>
              </w:rPr>
              <w:t>52</w:t>
            </w:r>
          </w:p>
        </w:tc>
        <w:tc>
          <w:tcPr>
            <w:tcW w:w="1220"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136" w:type="dxa"/>
            <w:vMerge/>
            <w:tcBorders>
              <w:top w:val="nil"/>
            </w:tcBorders>
          </w:tcPr>
          <w:p w:rsidR="00B0268C" w:rsidRDefault="00B0268C">
            <w:pPr>
              <w:rPr>
                <w:sz w:val="2"/>
                <w:szCs w:val="2"/>
              </w:rPr>
            </w:pPr>
          </w:p>
        </w:tc>
        <w:tc>
          <w:tcPr>
            <w:tcW w:w="994" w:type="dxa"/>
            <w:vMerge/>
            <w:tcBorders>
              <w:top w:val="nil"/>
            </w:tcBorders>
          </w:tcPr>
          <w:p w:rsidR="00B0268C" w:rsidRDefault="00B0268C">
            <w:pPr>
              <w:rPr>
                <w:sz w:val="2"/>
                <w:szCs w:val="2"/>
              </w:rPr>
            </w:pPr>
          </w:p>
        </w:tc>
        <w:tc>
          <w:tcPr>
            <w:tcW w:w="1275"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282" w:type="dxa"/>
            <w:vMerge/>
            <w:tcBorders>
              <w:top w:val="nil"/>
            </w:tcBorders>
          </w:tcPr>
          <w:p w:rsidR="00B0268C" w:rsidRDefault="00B0268C">
            <w:pPr>
              <w:rPr>
                <w:sz w:val="2"/>
                <w:szCs w:val="2"/>
              </w:rPr>
            </w:pPr>
          </w:p>
        </w:tc>
      </w:tr>
      <w:tr w:rsidR="00B0268C">
        <w:trPr>
          <w:trHeight w:val="255"/>
        </w:trPr>
        <w:tc>
          <w:tcPr>
            <w:tcW w:w="907" w:type="dxa"/>
            <w:tcBorders>
              <w:top w:val="nil"/>
              <w:bottom w:val="nil"/>
            </w:tcBorders>
          </w:tcPr>
          <w:p w:rsidR="00B0268C" w:rsidRDefault="00C408FB">
            <w:pPr>
              <w:pStyle w:val="TableParagraph"/>
              <w:spacing w:line="235" w:lineRule="exact"/>
              <w:ind w:left="107"/>
              <w:rPr>
                <w:sz w:val="23"/>
              </w:rPr>
            </w:pPr>
            <w:r>
              <w:rPr>
                <w:sz w:val="23"/>
              </w:rPr>
              <w:t>76</w:t>
            </w:r>
          </w:p>
        </w:tc>
        <w:tc>
          <w:tcPr>
            <w:tcW w:w="1220"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136" w:type="dxa"/>
            <w:vMerge/>
            <w:tcBorders>
              <w:top w:val="nil"/>
            </w:tcBorders>
          </w:tcPr>
          <w:p w:rsidR="00B0268C" w:rsidRDefault="00B0268C">
            <w:pPr>
              <w:rPr>
                <w:sz w:val="2"/>
                <w:szCs w:val="2"/>
              </w:rPr>
            </w:pPr>
          </w:p>
        </w:tc>
        <w:tc>
          <w:tcPr>
            <w:tcW w:w="994" w:type="dxa"/>
            <w:vMerge/>
            <w:tcBorders>
              <w:top w:val="nil"/>
            </w:tcBorders>
          </w:tcPr>
          <w:p w:rsidR="00B0268C" w:rsidRDefault="00B0268C">
            <w:pPr>
              <w:rPr>
                <w:sz w:val="2"/>
                <w:szCs w:val="2"/>
              </w:rPr>
            </w:pPr>
          </w:p>
        </w:tc>
        <w:tc>
          <w:tcPr>
            <w:tcW w:w="1275"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282" w:type="dxa"/>
            <w:vMerge/>
            <w:tcBorders>
              <w:top w:val="nil"/>
            </w:tcBorders>
          </w:tcPr>
          <w:p w:rsidR="00B0268C" w:rsidRDefault="00B0268C">
            <w:pPr>
              <w:rPr>
                <w:sz w:val="2"/>
                <w:szCs w:val="2"/>
              </w:rPr>
            </w:pPr>
          </w:p>
        </w:tc>
      </w:tr>
      <w:tr w:rsidR="00B0268C">
        <w:trPr>
          <w:trHeight w:val="259"/>
        </w:trPr>
        <w:tc>
          <w:tcPr>
            <w:tcW w:w="907" w:type="dxa"/>
            <w:tcBorders>
              <w:top w:val="nil"/>
            </w:tcBorders>
          </w:tcPr>
          <w:p w:rsidR="00B0268C" w:rsidRDefault="00C408FB">
            <w:pPr>
              <w:pStyle w:val="TableParagraph"/>
              <w:spacing w:line="240" w:lineRule="exact"/>
              <w:ind w:left="107"/>
              <w:rPr>
                <w:sz w:val="23"/>
              </w:rPr>
            </w:pPr>
            <w:r>
              <w:rPr>
                <w:sz w:val="23"/>
              </w:rPr>
              <w:t>100</w:t>
            </w:r>
          </w:p>
        </w:tc>
        <w:tc>
          <w:tcPr>
            <w:tcW w:w="1220"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136" w:type="dxa"/>
            <w:vMerge/>
            <w:tcBorders>
              <w:top w:val="nil"/>
            </w:tcBorders>
          </w:tcPr>
          <w:p w:rsidR="00B0268C" w:rsidRDefault="00B0268C">
            <w:pPr>
              <w:rPr>
                <w:sz w:val="2"/>
                <w:szCs w:val="2"/>
              </w:rPr>
            </w:pPr>
          </w:p>
        </w:tc>
        <w:tc>
          <w:tcPr>
            <w:tcW w:w="994" w:type="dxa"/>
            <w:vMerge/>
            <w:tcBorders>
              <w:top w:val="nil"/>
            </w:tcBorders>
          </w:tcPr>
          <w:p w:rsidR="00B0268C" w:rsidRDefault="00B0268C">
            <w:pPr>
              <w:rPr>
                <w:sz w:val="2"/>
                <w:szCs w:val="2"/>
              </w:rPr>
            </w:pPr>
          </w:p>
        </w:tc>
        <w:tc>
          <w:tcPr>
            <w:tcW w:w="1275" w:type="dxa"/>
            <w:vMerge/>
            <w:tcBorders>
              <w:top w:val="nil"/>
            </w:tcBorders>
          </w:tcPr>
          <w:p w:rsidR="00B0268C" w:rsidRDefault="00B0268C">
            <w:pPr>
              <w:rPr>
                <w:sz w:val="2"/>
                <w:szCs w:val="2"/>
              </w:rPr>
            </w:pPr>
          </w:p>
        </w:tc>
        <w:tc>
          <w:tcPr>
            <w:tcW w:w="1133" w:type="dxa"/>
            <w:vMerge/>
            <w:tcBorders>
              <w:top w:val="nil"/>
            </w:tcBorders>
          </w:tcPr>
          <w:p w:rsidR="00B0268C" w:rsidRDefault="00B0268C">
            <w:pPr>
              <w:rPr>
                <w:sz w:val="2"/>
                <w:szCs w:val="2"/>
              </w:rPr>
            </w:pPr>
          </w:p>
        </w:tc>
        <w:tc>
          <w:tcPr>
            <w:tcW w:w="1282" w:type="dxa"/>
            <w:vMerge/>
            <w:tcBorders>
              <w:top w:val="nil"/>
            </w:tcBorders>
          </w:tcPr>
          <w:p w:rsidR="00B0268C" w:rsidRDefault="00B0268C">
            <w:pPr>
              <w:rPr>
                <w:sz w:val="2"/>
                <w:szCs w:val="2"/>
              </w:rPr>
            </w:pPr>
          </w:p>
        </w:tc>
      </w:tr>
    </w:tbl>
    <w:p w:rsidR="00B0268C" w:rsidRDefault="00B0268C">
      <w:pPr>
        <w:pStyle w:val="BodyText"/>
        <w:spacing w:before="9"/>
        <w:rPr>
          <w:sz w:val="22"/>
        </w:rPr>
      </w:pPr>
    </w:p>
    <w:p w:rsidR="00B0268C" w:rsidRDefault="00C408FB">
      <w:pPr>
        <w:spacing w:before="1"/>
        <w:ind w:left="574"/>
        <w:rPr>
          <w:b/>
          <w:sz w:val="23"/>
        </w:rPr>
      </w:pPr>
      <w:r>
        <w:rPr>
          <w:b/>
          <w:sz w:val="23"/>
        </w:rPr>
        <w:t>Secondary outcomes:</w:t>
      </w:r>
    </w:p>
    <w:p w:rsidR="00B0268C" w:rsidRDefault="00B0268C">
      <w:pPr>
        <w:pStyle w:val="BodyText"/>
        <w:spacing w:before="2" w:after="1"/>
        <w:rPr>
          <w:b/>
        </w:rPr>
      </w:pPr>
    </w:p>
    <w:tbl>
      <w:tblPr>
        <w:tblW w:w="0" w:type="auto"/>
        <w:tblInd w:w="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7"/>
        <w:gridCol w:w="1274"/>
        <w:gridCol w:w="1418"/>
        <w:gridCol w:w="1275"/>
        <w:gridCol w:w="994"/>
        <w:gridCol w:w="997"/>
      </w:tblGrid>
      <w:tr w:rsidR="00B0268C">
        <w:trPr>
          <w:trHeight w:val="527"/>
        </w:trPr>
        <w:tc>
          <w:tcPr>
            <w:tcW w:w="2897" w:type="dxa"/>
            <w:shd w:val="clear" w:color="auto" w:fill="D9D9D9"/>
          </w:tcPr>
          <w:p w:rsidR="00B0268C" w:rsidRDefault="00C408FB">
            <w:pPr>
              <w:pStyle w:val="TableParagraph"/>
              <w:spacing w:line="258" w:lineRule="exact"/>
              <w:ind w:left="107"/>
              <w:rPr>
                <w:sz w:val="23"/>
              </w:rPr>
            </w:pPr>
            <w:r>
              <w:rPr>
                <w:sz w:val="23"/>
              </w:rPr>
              <w:t>Outcomes:</w:t>
            </w:r>
          </w:p>
        </w:tc>
        <w:tc>
          <w:tcPr>
            <w:tcW w:w="1274" w:type="dxa"/>
            <w:shd w:val="clear" w:color="auto" w:fill="D9D9D9"/>
          </w:tcPr>
          <w:p w:rsidR="00B0268C" w:rsidRDefault="00C408FB">
            <w:pPr>
              <w:pStyle w:val="TableParagraph"/>
              <w:spacing w:line="258" w:lineRule="exact"/>
              <w:ind w:left="276"/>
              <w:rPr>
                <w:sz w:val="23"/>
              </w:rPr>
            </w:pPr>
            <w:r>
              <w:rPr>
                <w:sz w:val="23"/>
              </w:rPr>
              <w:t xml:space="preserve">Arm </w:t>
            </w:r>
            <w:proofErr w:type="spellStart"/>
            <w:r>
              <w:rPr>
                <w:sz w:val="23"/>
              </w:rPr>
              <w:t>Ia</w:t>
            </w:r>
            <w:proofErr w:type="spellEnd"/>
            <w:r>
              <w:rPr>
                <w:sz w:val="23"/>
              </w:rPr>
              <w:t>/</w:t>
            </w:r>
          </w:p>
          <w:p w:rsidR="00B0268C" w:rsidRDefault="00C408FB">
            <w:pPr>
              <w:pStyle w:val="TableParagraph"/>
              <w:spacing w:line="249" w:lineRule="exact"/>
              <w:ind w:left="331"/>
              <w:rPr>
                <w:sz w:val="23"/>
              </w:rPr>
            </w:pPr>
            <w:r>
              <w:rPr>
                <w:sz w:val="23"/>
              </w:rPr>
              <w:t>Active</w:t>
            </w:r>
          </w:p>
        </w:tc>
        <w:tc>
          <w:tcPr>
            <w:tcW w:w="1418" w:type="dxa"/>
            <w:shd w:val="clear" w:color="auto" w:fill="D9D9D9"/>
          </w:tcPr>
          <w:p w:rsidR="00B0268C" w:rsidRDefault="00C408FB">
            <w:pPr>
              <w:pStyle w:val="TableParagraph"/>
              <w:spacing w:line="258" w:lineRule="exact"/>
              <w:ind w:left="341"/>
              <w:rPr>
                <w:sz w:val="23"/>
              </w:rPr>
            </w:pPr>
            <w:r>
              <w:rPr>
                <w:sz w:val="23"/>
              </w:rPr>
              <w:t xml:space="preserve">Arm </w:t>
            </w:r>
            <w:proofErr w:type="spellStart"/>
            <w:r>
              <w:rPr>
                <w:sz w:val="23"/>
              </w:rPr>
              <w:t>Ib</w:t>
            </w:r>
            <w:proofErr w:type="spellEnd"/>
            <w:r>
              <w:rPr>
                <w:sz w:val="23"/>
              </w:rPr>
              <w:t>/</w:t>
            </w:r>
          </w:p>
          <w:p w:rsidR="00B0268C" w:rsidRDefault="00C408FB">
            <w:pPr>
              <w:pStyle w:val="TableParagraph"/>
              <w:spacing w:line="249" w:lineRule="exact"/>
              <w:ind w:left="404"/>
              <w:rPr>
                <w:sz w:val="23"/>
              </w:rPr>
            </w:pPr>
            <w:r>
              <w:rPr>
                <w:sz w:val="23"/>
              </w:rPr>
              <w:t>Active</w:t>
            </w:r>
          </w:p>
        </w:tc>
        <w:tc>
          <w:tcPr>
            <w:tcW w:w="1275" w:type="dxa"/>
            <w:shd w:val="clear" w:color="auto" w:fill="D9D9D9"/>
          </w:tcPr>
          <w:p w:rsidR="00B0268C" w:rsidRDefault="00C408FB">
            <w:pPr>
              <w:pStyle w:val="TableParagraph"/>
              <w:spacing w:line="258" w:lineRule="exact"/>
              <w:ind w:left="289"/>
              <w:rPr>
                <w:sz w:val="23"/>
              </w:rPr>
            </w:pPr>
            <w:r>
              <w:rPr>
                <w:sz w:val="23"/>
              </w:rPr>
              <w:t>Arm C/</w:t>
            </w:r>
          </w:p>
          <w:p w:rsidR="00B0268C" w:rsidRDefault="00C408FB">
            <w:pPr>
              <w:pStyle w:val="TableParagraph"/>
              <w:spacing w:line="249" w:lineRule="exact"/>
              <w:ind w:left="286"/>
              <w:rPr>
                <w:sz w:val="23"/>
              </w:rPr>
            </w:pPr>
            <w:r>
              <w:rPr>
                <w:sz w:val="23"/>
              </w:rPr>
              <w:t>Control</w:t>
            </w:r>
          </w:p>
        </w:tc>
        <w:tc>
          <w:tcPr>
            <w:tcW w:w="994" w:type="dxa"/>
            <w:shd w:val="clear" w:color="auto" w:fill="D9D9D9"/>
          </w:tcPr>
          <w:p w:rsidR="00B0268C" w:rsidRDefault="00C408FB">
            <w:pPr>
              <w:pStyle w:val="TableParagraph"/>
              <w:spacing w:line="258" w:lineRule="exact"/>
              <w:ind w:left="171"/>
              <w:rPr>
                <w:sz w:val="23"/>
              </w:rPr>
            </w:pPr>
            <w:proofErr w:type="spellStart"/>
            <w:r>
              <w:rPr>
                <w:sz w:val="23"/>
              </w:rPr>
              <w:t>Ia</w:t>
            </w:r>
            <w:proofErr w:type="spellEnd"/>
            <w:r>
              <w:rPr>
                <w:sz w:val="23"/>
              </w:rPr>
              <w:t xml:space="preserve"> vs</w:t>
            </w:r>
            <w:r>
              <w:rPr>
                <w:spacing w:val="-4"/>
                <w:sz w:val="23"/>
              </w:rPr>
              <w:t xml:space="preserve"> </w:t>
            </w:r>
            <w:r>
              <w:rPr>
                <w:sz w:val="23"/>
              </w:rPr>
              <w:t>C</w:t>
            </w:r>
          </w:p>
          <w:p w:rsidR="00B0268C" w:rsidRDefault="00C408FB">
            <w:pPr>
              <w:pStyle w:val="TableParagraph"/>
              <w:spacing w:line="249" w:lineRule="exact"/>
              <w:ind w:left="159"/>
              <w:rPr>
                <w:sz w:val="23"/>
              </w:rPr>
            </w:pPr>
            <w:r>
              <w:rPr>
                <w:sz w:val="23"/>
              </w:rPr>
              <w:t>z-value</w:t>
            </w:r>
          </w:p>
        </w:tc>
        <w:tc>
          <w:tcPr>
            <w:tcW w:w="997" w:type="dxa"/>
            <w:shd w:val="clear" w:color="auto" w:fill="D9D9D9"/>
          </w:tcPr>
          <w:p w:rsidR="00B0268C" w:rsidRDefault="00C408FB">
            <w:pPr>
              <w:pStyle w:val="TableParagraph"/>
              <w:spacing w:line="258" w:lineRule="exact"/>
              <w:ind w:left="166"/>
              <w:rPr>
                <w:sz w:val="23"/>
              </w:rPr>
            </w:pPr>
            <w:proofErr w:type="spellStart"/>
            <w:r>
              <w:rPr>
                <w:sz w:val="23"/>
              </w:rPr>
              <w:t>Ib</w:t>
            </w:r>
            <w:proofErr w:type="spellEnd"/>
            <w:r>
              <w:rPr>
                <w:sz w:val="23"/>
              </w:rPr>
              <w:t xml:space="preserve"> vs</w:t>
            </w:r>
            <w:r>
              <w:rPr>
                <w:spacing w:val="-5"/>
                <w:sz w:val="23"/>
              </w:rPr>
              <w:t xml:space="preserve"> </w:t>
            </w:r>
            <w:r>
              <w:rPr>
                <w:sz w:val="23"/>
              </w:rPr>
              <w:t>C</w:t>
            </w:r>
          </w:p>
          <w:p w:rsidR="00B0268C" w:rsidRDefault="00C408FB">
            <w:pPr>
              <w:pStyle w:val="TableParagraph"/>
              <w:spacing w:line="249" w:lineRule="exact"/>
              <w:ind w:left="159"/>
              <w:rPr>
                <w:sz w:val="23"/>
              </w:rPr>
            </w:pPr>
            <w:r>
              <w:rPr>
                <w:sz w:val="23"/>
              </w:rPr>
              <w:t>z-value</w:t>
            </w:r>
          </w:p>
        </w:tc>
      </w:tr>
      <w:tr w:rsidR="00B0268C">
        <w:trPr>
          <w:trHeight w:val="820"/>
        </w:trPr>
        <w:tc>
          <w:tcPr>
            <w:tcW w:w="2897" w:type="dxa"/>
            <w:tcBorders>
              <w:bottom w:val="nil"/>
            </w:tcBorders>
          </w:tcPr>
          <w:p w:rsidR="00B0268C" w:rsidRDefault="00C408FB">
            <w:pPr>
              <w:pStyle w:val="TableParagraph"/>
              <w:spacing w:line="268" w:lineRule="exact"/>
              <w:ind w:left="107"/>
              <w:rPr>
                <w:sz w:val="24"/>
              </w:rPr>
            </w:pPr>
            <w:r>
              <w:rPr>
                <w:sz w:val="24"/>
              </w:rPr>
              <w:t>Change in mean OCT</w:t>
            </w:r>
          </w:p>
          <w:p w:rsidR="00B0268C" w:rsidRDefault="00C408FB">
            <w:pPr>
              <w:pStyle w:val="TableParagraph"/>
              <w:spacing w:line="270" w:lineRule="atLeast"/>
              <w:ind w:left="107" w:right="80"/>
              <w:rPr>
                <w:sz w:val="24"/>
              </w:rPr>
            </w:pPr>
            <w:proofErr w:type="gramStart"/>
            <w:r>
              <w:rPr>
                <w:sz w:val="24"/>
              </w:rPr>
              <w:t>central</w:t>
            </w:r>
            <w:proofErr w:type="gramEnd"/>
            <w:r>
              <w:rPr>
                <w:sz w:val="24"/>
              </w:rPr>
              <w:t xml:space="preserve"> subfield thickness (CST) at 52 and 100 weeks.</w:t>
            </w:r>
          </w:p>
        </w:tc>
        <w:tc>
          <w:tcPr>
            <w:tcW w:w="1274" w:type="dxa"/>
            <w:tcBorders>
              <w:bottom w:val="nil"/>
            </w:tcBorders>
          </w:tcPr>
          <w:p w:rsidR="00B0268C" w:rsidRDefault="00C408FB">
            <w:pPr>
              <w:pStyle w:val="TableParagraph"/>
              <w:spacing w:line="258" w:lineRule="exact"/>
              <w:ind w:left="102" w:right="92"/>
              <w:jc w:val="center"/>
              <w:rPr>
                <w:sz w:val="23"/>
              </w:rPr>
            </w:pPr>
            <w:r>
              <w:rPr>
                <w:sz w:val="23"/>
              </w:rPr>
              <w:t>Mean (SD)</w:t>
            </w:r>
          </w:p>
        </w:tc>
        <w:tc>
          <w:tcPr>
            <w:tcW w:w="1418" w:type="dxa"/>
            <w:tcBorders>
              <w:bottom w:val="nil"/>
            </w:tcBorders>
          </w:tcPr>
          <w:p w:rsidR="00B0268C" w:rsidRDefault="00C408FB">
            <w:pPr>
              <w:pStyle w:val="TableParagraph"/>
              <w:spacing w:line="258" w:lineRule="exact"/>
              <w:ind w:left="175" w:right="163"/>
              <w:jc w:val="center"/>
              <w:rPr>
                <w:sz w:val="23"/>
              </w:rPr>
            </w:pPr>
            <w:r>
              <w:rPr>
                <w:sz w:val="23"/>
              </w:rPr>
              <w:t>Mean (SD)</w:t>
            </w:r>
          </w:p>
        </w:tc>
        <w:tc>
          <w:tcPr>
            <w:tcW w:w="1275" w:type="dxa"/>
            <w:tcBorders>
              <w:bottom w:val="nil"/>
            </w:tcBorders>
          </w:tcPr>
          <w:p w:rsidR="00B0268C" w:rsidRDefault="00C408FB">
            <w:pPr>
              <w:pStyle w:val="TableParagraph"/>
              <w:spacing w:line="258" w:lineRule="exact"/>
              <w:ind w:left="104" w:right="92"/>
              <w:jc w:val="center"/>
              <w:rPr>
                <w:sz w:val="23"/>
              </w:rPr>
            </w:pPr>
            <w:r>
              <w:rPr>
                <w:sz w:val="23"/>
              </w:rPr>
              <w:t>Mean (SD)</w:t>
            </w:r>
          </w:p>
        </w:tc>
        <w:tc>
          <w:tcPr>
            <w:tcW w:w="994" w:type="dxa"/>
            <w:vMerge w:val="restart"/>
          </w:tcPr>
          <w:p w:rsidR="00B0268C" w:rsidRDefault="00B0268C">
            <w:pPr>
              <w:pStyle w:val="TableParagraph"/>
            </w:pPr>
          </w:p>
        </w:tc>
        <w:tc>
          <w:tcPr>
            <w:tcW w:w="997" w:type="dxa"/>
            <w:vMerge w:val="restart"/>
          </w:tcPr>
          <w:p w:rsidR="00B0268C" w:rsidRDefault="00B0268C">
            <w:pPr>
              <w:pStyle w:val="TableParagraph"/>
            </w:pPr>
          </w:p>
        </w:tc>
      </w:tr>
      <w:tr w:rsidR="00B0268C">
        <w:trPr>
          <w:trHeight w:val="673"/>
        </w:trPr>
        <w:tc>
          <w:tcPr>
            <w:tcW w:w="2897" w:type="dxa"/>
            <w:tcBorders>
              <w:top w:val="nil"/>
              <w:bottom w:val="nil"/>
            </w:tcBorders>
          </w:tcPr>
          <w:p w:rsidR="00B0268C" w:rsidRDefault="00C408FB">
            <w:pPr>
              <w:pStyle w:val="TableParagraph"/>
              <w:ind w:left="107" w:right="167"/>
              <w:rPr>
                <w:sz w:val="24"/>
              </w:rPr>
            </w:pPr>
            <w:r>
              <w:rPr>
                <w:sz w:val="24"/>
              </w:rPr>
              <w:t>Change in macular volume at 52 and 100 weeks</w:t>
            </w:r>
          </w:p>
        </w:tc>
        <w:tc>
          <w:tcPr>
            <w:tcW w:w="1274" w:type="dxa"/>
            <w:tcBorders>
              <w:top w:val="nil"/>
              <w:bottom w:val="nil"/>
            </w:tcBorders>
          </w:tcPr>
          <w:p w:rsidR="00B0268C" w:rsidRDefault="00C408FB">
            <w:pPr>
              <w:pStyle w:val="TableParagraph"/>
              <w:spacing w:line="257" w:lineRule="exact"/>
              <w:ind w:left="102" w:right="92"/>
              <w:jc w:val="center"/>
              <w:rPr>
                <w:sz w:val="23"/>
              </w:rPr>
            </w:pPr>
            <w:r>
              <w:rPr>
                <w:sz w:val="23"/>
              </w:rPr>
              <w:t>Mean (SD)</w:t>
            </w:r>
          </w:p>
        </w:tc>
        <w:tc>
          <w:tcPr>
            <w:tcW w:w="1418" w:type="dxa"/>
            <w:tcBorders>
              <w:top w:val="nil"/>
              <w:bottom w:val="nil"/>
            </w:tcBorders>
          </w:tcPr>
          <w:p w:rsidR="00B0268C" w:rsidRDefault="00C408FB">
            <w:pPr>
              <w:pStyle w:val="TableParagraph"/>
              <w:spacing w:line="257" w:lineRule="exact"/>
              <w:ind w:left="175" w:right="163"/>
              <w:jc w:val="center"/>
              <w:rPr>
                <w:sz w:val="23"/>
              </w:rPr>
            </w:pPr>
            <w:r>
              <w:rPr>
                <w:sz w:val="23"/>
              </w:rPr>
              <w:t>Mean (SD)</w:t>
            </w:r>
          </w:p>
        </w:tc>
        <w:tc>
          <w:tcPr>
            <w:tcW w:w="1275" w:type="dxa"/>
            <w:tcBorders>
              <w:top w:val="nil"/>
              <w:bottom w:val="nil"/>
            </w:tcBorders>
          </w:tcPr>
          <w:p w:rsidR="00B0268C" w:rsidRDefault="00C408FB">
            <w:pPr>
              <w:pStyle w:val="TableParagraph"/>
              <w:spacing w:line="257" w:lineRule="exact"/>
              <w:ind w:left="104" w:right="92"/>
              <w:jc w:val="center"/>
              <w:rPr>
                <w:sz w:val="23"/>
              </w:rPr>
            </w:pPr>
            <w:r>
              <w:rPr>
                <w:sz w:val="23"/>
              </w:rPr>
              <w:t>Mean (SD)</w:t>
            </w:r>
          </w:p>
        </w:tc>
        <w:tc>
          <w:tcPr>
            <w:tcW w:w="994" w:type="dxa"/>
            <w:vMerge/>
            <w:tcBorders>
              <w:top w:val="nil"/>
            </w:tcBorders>
          </w:tcPr>
          <w:p w:rsidR="00B0268C" w:rsidRDefault="00B0268C">
            <w:pPr>
              <w:rPr>
                <w:sz w:val="2"/>
                <w:szCs w:val="2"/>
              </w:rPr>
            </w:pPr>
          </w:p>
        </w:tc>
        <w:tc>
          <w:tcPr>
            <w:tcW w:w="997" w:type="dxa"/>
            <w:vMerge/>
            <w:tcBorders>
              <w:top w:val="nil"/>
            </w:tcBorders>
          </w:tcPr>
          <w:p w:rsidR="00B0268C" w:rsidRDefault="00B0268C">
            <w:pPr>
              <w:rPr>
                <w:sz w:val="2"/>
                <w:szCs w:val="2"/>
              </w:rPr>
            </w:pPr>
          </w:p>
        </w:tc>
      </w:tr>
      <w:tr w:rsidR="00B0268C">
        <w:trPr>
          <w:trHeight w:val="1778"/>
        </w:trPr>
        <w:tc>
          <w:tcPr>
            <w:tcW w:w="2897" w:type="dxa"/>
            <w:tcBorders>
              <w:top w:val="nil"/>
              <w:bottom w:val="nil"/>
            </w:tcBorders>
          </w:tcPr>
          <w:p w:rsidR="00B0268C" w:rsidRDefault="00C408FB">
            <w:pPr>
              <w:pStyle w:val="TableParagraph"/>
              <w:spacing w:before="122" w:line="270" w:lineRule="atLeast"/>
              <w:ind w:left="107" w:right="127"/>
              <w:rPr>
                <w:sz w:val="24"/>
              </w:rPr>
            </w:pPr>
            <w:r>
              <w:rPr>
                <w:sz w:val="24"/>
              </w:rPr>
              <w:t>Participants with ≥15 ETDRS letter improvement, ≥ 10 letter improvement, &lt;15 letter loss and ≥ 30 ETDRS letter loss at 52 and 100 weeks.</w:t>
            </w:r>
          </w:p>
        </w:tc>
        <w:tc>
          <w:tcPr>
            <w:tcW w:w="1274" w:type="dxa"/>
            <w:tcBorders>
              <w:top w:val="nil"/>
              <w:bottom w:val="nil"/>
            </w:tcBorders>
          </w:tcPr>
          <w:p w:rsidR="00B0268C" w:rsidRDefault="00C408FB">
            <w:pPr>
              <w:pStyle w:val="TableParagraph"/>
              <w:spacing w:before="124"/>
              <w:ind w:left="100" w:right="92"/>
              <w:jc w:val="center"/>
              <w:rPr>
                <w:sz w:val="23"/>
              </w:rPr>
            </w:pPr>
            <w:r>
              <w:rPr>
                <w:sz w:val="23"/>
              </w:rPr>
              <w:t>% (n)</w:t>
            </w:r>
          </w:p>
        </w:tc>
        <w:tc>
          <w:tcPr>
            <w:tcW w:w="1418" w:type="dxa"/>
            <w:tcBorders>
              <w:top w:val="nil"/>
              <w:bottom w:val="nil"/>
            </w:tcBorders>
          </w:tcPr>
          <w:p w:rsidR="00B0268C" w:rsidRDefault="00C408FB">
            <w:pPr>
              <w:pStyle w:val="TableParagraph"/>
              <w:spacing w:before="124"/>
              <w:ind w:left="172" w:right="163"/>
              <w:jc w:val="center"/>
              <w:rPr>
                <w:sz w:val="23"/>
              </w:rPr>
            </w:pPr>
            <w:r>
              <w:rPr>
                <w:sz w:val="23"/>
              </w:rPr>
              <w:t>% (n)</w:t>
            </w:r>
          </w:p>
        </w:tc>
        <w:tc>
          <w:tcPr>
            <w:tcW w:w="1275" w:type="dxa"/>
            <w:tcBorders>
              <w:top w:val="nil"/>
              <w:bottom w:val="nil"/>
            </w:tcBorders>
          </w:tcPr>
          <w:p w:rsidR="00B0268C" w:rsidRDefault="00C408FB">
            <w:pPr>
              <w:pStyle w:val="TableParagraph"/>
              <w:spacing w:before="124"/>
              <w:ind w:left="104" w:right="90"/>
              <w:jc w:val="center"/>
              <w:rPr>
                <w:sz w:val="23"/>
              </w:rPr>
            </w:pPr>
            <w:r>
              <w:rPr>
                <w:sz w:val="23"/>
              </w:rPr>
              <w:t>% (n)</w:t>
            </w:r>
          </w:p>
        </w:tc>
        <w:tc>
          <w:tcPr>
            <w:tcW w:w="994" w:type="dxa"/>
            <w:vMerge/>
            <w:tcBorders>
              <w:top w:val="nil"/>
            </w:tcBorders>
          </w:tcPr>
          <w:p w:rsidR="00B0268C" w:rsidRDefault="00B0268C">
            <w:pPr>
              <w:rPr>
                <w:sz w:val="2"/>
                <w:szCs w:val="2"/>
              </w:rPr>
            </w:pPr>
          </w:p>
        </w:tc>
        <w:tc>
          <w:tcPr>
            <w:tcW w:w="997" w:type="dxa"/>
            <w:vMerge/>
            <w:tcBorders>
              <w:top w:val="nil"/>
            </w:tcBorders>
          </w:tcPr>
          <w:p w:rsidR="00B0268C" w:rsidRDefault="00B0268C">
            <w:pPr>
              <w:rPr>
                <w:sz w:val="2"/>
                <w:szCs w:val="2"/>
              </w:rPr>
            </w:pPr>
          </w:p>
        </w:tc>
      </w:tr>
      <w:tr w:rsidR="00B0268C">
        <w:trPr>
          <w:trHeight w:val="1104"/>
        </w:trPr>
        <w:tc>
          <w:tcPr>
            <w:tcW w:w="2897" w:type="dxa"/>
            <w:tcBorders>
              <w:top w:val="nil"/>
            </w:tcBorders>
          </w:tcPr>
          <w:p w:rsidR="00B0268C" w:rsidRDefault="00C408FB">
            <w:pPr>
              <w:pStyle w:val="TableParagraph"/>
              <w:ind w:left="107" w:right="235"/>
              <w:rPr>
                <w:sz w:val="24"/>
              </w:rPr>
            </w:pPr>
            <w:r>
              <w:rPr>
                <w:sz w:val="24"/>
              </w:rPr>
              <w:t>Participants with ≥73 ETDRS letters or better, ≤ 58 ETDRS letter and ≤19</w:t>
            </w:r>
          </w:p>
          <w:p w:rsidR="00B0268C" w:rsidRDefault="00C408FB">
            <w:pPr>
              <w:pStyle w:val="TableParagraph"/>
              <w:spacing w:line="266" w:lineRule="exact"/>
              <w:ind w:left="107"/>
              <w:rPr>
                <w:sz w:val="24"/>
              </w:rPr>
            </w:pPr>
            <w:proofErr w:type="gramStart"/>
            <w:r>
              <w:rPr>
                <w:sz w:val="24"/>
              </w:rPr>
              <w:t>letters</w:t>
            </w:r>
            <w:proofErr w:type="gramEnd"/>
            <w:r>
              <w:rPr>
                <w:sz w:val="24"/>
              </w:rPr>
              <w:t xml:space="preserve"> at 52 and 100 weeks.</w:t>
            </w:r>
          </w:p>
        </w:tc>
        <w:tc>
          <w:tcPr>
            <w:tcW w:w="1274" w:type="dxa"/>
            <w:tcBorders>
              <w:top w:val="nil"/>
            </w:tcBorders>
          </w:tcPr>
          <w:p w:rsidR="00B0268C" w:rsidRDefault="00C408FB">
            <w:pPr>
              <w:pStyle w:val="TableParagraph"/>
              <w:spacing w:line="257" w:lineRule="exact"/>
              <w:ind w:left="100" w:right="92"/>
              <w:jc w:val="center"/>
              <w:rPr>
                <w:sz w:val="23"/>
              </w:rPr>
            </w:pPr>
            <w:r>
              <w:rPr>
                <w:sz w:val="23"/>
              </w:rPr>
              <w:t>% (n)</w:t>
            </w:r>
          </w:p>
        </w:tc>
        <w:tc>
          <w:tcPr>
            <w:tcW w:w="1418" w:type="dxa"/>
            <w:tcBorders>
              <w:top w:val="nil"/>
            </w:tcBorders>
          </w:tcPr>
          <w:p w:rsidR="00B0268C" w:rsidRDefault="00C408FB">
            <w:pPr>
              <w:pStyle w:val="TableParagraph"/>
              <w:spacing w:line="257" w:lineRule="exact"/>
              <w:ind w:left="172" w:right="163"/>
              <w:jc w:val="center"/>
              <w:rPr>
                <w:sz w:val="23"/>
              </w:rPr>
            </w:pPr>
            <w:r>
              <w:rPr>
                <w:sz w:val="23"/>
              </w:rPr>
              <w:t>% (n)</w:t>
            </w:r>
          </w:p>
        </w:tc>
        <w:tc>
          <w:tcPr>
            <w:tcW w:w="1275" w:type="dxa"/>
            <w:tcBorders>
              <w:top w:val="nil"/>
            </w:tcBorders>
          </w:tcPr>
          <w:p w:rsidR="00B0268C" w:rsidRDefault="00C408FB">
            <w:pPr>
              <w:pStyle w:val="TableParagraph"/>
              <w:spacing w:line="257" w:lineRule="exact"/>
              <w:ind w:left="104" w:right="90"/>
              <w:jc w:val="center"/>
              <w:rPr>
                <w:sz w:val="23"/>
              </w:rPr>
            </w:pPr>
            <w:r>
              <w:rPr>
                <w:sz w:val="23"/>
              </w:rPr>
              <w:t>% (n)</w:t>
            </w:r>
          </w:p>
        </w:tc>
        <w:tc>
          <w:tcPr>
            <w:tcW w:w="994" w:type="dxa"/>
            <w:vMerge/>
            <w:tcBorders>
              <w:top w:val="nil"/>
            </w:tcBorders>
          </w:tcPr>
          <w:p w:rsidR="00B0268C" w:rsidRDefault="00B0268C">
            <w:pPr>
              <w:rPr>
                <w:sz w:val="2"/>
                <w:szCs w:val="2"/>
              </w:rPr>
            </w:pPr>
          </w:p>
        </w:tc>
        <w:tc>
          <w:tcPr>
            <w:tcW w:w="997" w:type="dxa"/>
            <w:vMerge/>
            <w:tcBorders>
              <w:top w:val="nil"/>
            </w:tcBorders>
          </w:tcPr>
          <w:p w:rsidR="00B0268C" w:rsidRDefault="00B0268C">
            <w:pPr>
              <w:rPr>
                <w:sz w:val="2"/>
                <w:szCs w:val="2"/>
              </w:rPr>
            </w:pPr>
          </w:p>
        </w:tc>
      </w:tr>
    </w:tbl>
    <w:p w:rsidR="00B0268C" w:rsidRDefault="00C408FB">
      <w:pPr>
        <w:ind w:left="574"/>
        <w:rPr>
          <w:sz w:val="23"/>
        </w:rPr>
      </w:pPr>
      <w:r>
        <w:rPr>
          <w:b/>
          <w:sz w:val="23"/>
        </w:rPr>
        <w:t>Note</w:t>
      </w:r>
      <w:r>
        <w:rPr>
          <w:sz w:val="23"/>
        </w:rPr>
        <w:t>: These will be extended and modified by the DMC.</w:t>
      </w:r>
    </w:p>
    <w:p w:rsidR="00B0268C" w:rsidRDefault="00B0268C">
      <w:pPr>
        <w:pStyle w:val="BodyText"/>
        <w:spacing w:before="10"/>
        <w:rPr>
          <w:sz w:val="22"/>
        </w:rPr>
      </w:pPr>
    </w:p>
    <w:p w:rsidR="00B0268C" w:rsidRDefault="00C408FB">
      <w:pPr>
        <w:ind w:left="574"/>
        <w:rPr>
          <w:sz w:val="23"/>
        </w:rPr>
      </w:pPr>
      <w:r>
        <w:rPr>
          <w:sz w:val="23"/>
        </w:rPr>
        <w:t>The denominators will either be presented here or in a “Completeness of Data” Table where observed denominators are compared to expected denominators.</w:t>
      </w:r>
    </w:p>
    <w:p w:rsidR="00B0268C" w:rsidRDefault="00B0268C">
      <w:pPr>
        <w:rPr>
          <w:sz w:val="23"/>
        </w:rPr>
        <w:sectPr w:rsidR="00B0268C">
          <w:pgSz w:w="11910" w:h="16840"/>
          <w:pgMar w:top="1040" w:right="1200" w:bottom="1660" w:left="1260" w:header="712" w:footer="1442" w:gutter="0"/>
          <w:cols w:space="720"/>
        </w:sectPr>
      </w:pPr>
    </w:p>
    <w:p w:rsidR="00B0268C" w:rsidRDefault="00C408FB">
      <w:pPr>
        <w:pStyle w:val="Heading1"/>
      </w:pPr>
      <w:bookmarkStart w:id="105" w:name="_bookmark105"/>
      <w:bookmarkEnd w:id="105"/>
      <w:r>
        <w:lastRenderedPageBreak/>
        <w:t>Appendix II – Record of data decisions during the blinded review.</w:t>
      </w:r>
    </w:p>
    <w:p w:rsidR="00B0268C" w:rsidRDefault="00B0268C">
      <w:pPr>
        <w:pStyle w:val="BodyText"/>
        <w:spacing w:before="1"/>
        <w:rPr>
          <w:rFonts w:ascii="Arial"/>
          <w:b/>
          <w:sz w:val="28"/>
        </w:rPr>
      </w:pPr>
    </w:p>
    <w:p w:rsidR="00B0268C" w:rsidRDefault="00C408FB">
      <w:pPr>
        <w:pStyle w:val="Heading2"/>
        <w:numPr>
          <w:ilvl w:val="1"/>
          <w:numId w:val="3"/>
        </w:numPr>
        <w:tabs>
          <w:tab w:val="left" w:pos="750"/>
        </w:tabs>
        <w:spacing w:before="1"/>
      </w:pPr>
      <w:bookmarkStart w:id="106" w:name="_bookmark106"/>
      <w:bookmarkEnd w:id="106"/>
      <w:r>
        <w:t>Record of data</w:t>
      </w:r>
      <w:r>
        <w:rPr>
          <w:spacing w:val="-3"/>
        </w:rPr>
        <w:t xml:space="preserve"> </w:t>
      </w:r>
      <w:r>
        <w:t>decisions</w:t>
      </w:r>
    </w:p>
    <w:p w:rsidR="00B0268C" w:rsidRDefault="00B0268C">
      <w:pPr>
        <w:pStyle w:val="BodyText"/>
        <w:spacing w:before="10"/>
        <w:rPr>
          <w:rFonts w:ascii="Arial"/>
          <w:b/>
          <w:sz w:val="28"/>
        </w:rPr>
      </w:pPr>
    </w:p>
    <w:p w:rsidR="00B0268C" w:rsidRDefault="00C408FB">
      <w:pPr>
        <w:pStyle w:val="BodyText"/>
        <w:ind w:left="214"/>
      </w:pPr>
      <w:r>
        <w:t>During the blinded review data decisions will be recorded here.</w:t>
      </w:r>
    </w:p>
    <w:p w:rsidR="00B0268C" w:rsidRDefault="00B0268C">
      <w:pPr>
        <w:pStyle w:val="BodyText"/>
        <w:spacing w:before="4"/>
      </w:pPr>
    </w:p>
    <w:p w:rsidR="00B0268C" w:rsidRDefault="00C408FB">
      <w:pPr>
        <w:pStyle w:val="Heading2"/>
        <w:numPr>
          <w:ilvl w:val="1"/>
          <w:numId w:val="3"/>
        </w:numPr>
        <w:tabs>
          <w:tab w:val="left" w:pos="749"/>
        </w:tabs>
        <w:ind w:left="748" w:hanging="535"/>
      </w:pPr>
      <w:bookmarkStart w:id="107" w:name="_bookmark107"/>
      <w:bookmarkEnd w:id="107"/>
      <w:r>
        <w:t>Record of analysis decisions</w:t>
      </w:r>
    </w:p>
    <w:p w:rsidR="00B0268C" w:rsidRDefault="00B0268C">
      <w:pPr>
        <w:pStyle w:val="BodyText"/>
        <w:spacing w:before="9"/>
        <w:rPr>
          <w:rFonts w:ascii="Arial"/>
          <w:b/>
          <w:sz w:val="32"/>
        </w:rPr>
      </w:pPr>
    </w:p>
    <w:p w:rsidR="00B0268C" w:rsidRDefault="00C408FB">
      <w:pPr>
        <w:pStyle w:val="BodyText"/>
        <w:spacing w:before="1"/>
        <w:ind w:left="214"/>
      </w:pPr>
      <w:r>
        <w:t>During the blinded review data decisions will be recorded here.</w:t>
      </w:r>
    </w:p>
    <w:p w:rsidR="00B0268C" w:rsidRDefault="00B0268C">
      <w:pPr>
        <w:sectPr w:rsidR="00B0268C">
          <w:pgSz w:w="11910" w:h="16840"/>
          <w:pgMar w:top="1040" w:right="1200" w:bottom="1660" w:left="1260" w:header="712" w:footer="1442" w:gutter="0"/>
          <w:cols w:space="720"/>
        </w:sectPr>
      </w:pPr>
    </w:p>
    <w:p w:rsidR="00B0268C" w:rsidRDefault="00C408FB">
      <w:pPr>
        <w:pStyle w:val="Heading1"/>
      </w:pPr>
      <w:bookmarkStart w:id="108" w:name="_bookmark108"/>
      <w:bookmarkEnd w:id="108"/>
      <w:r>
        <w:lastRenderedPageBreak/>
        <w:t>Appendix III – Record of data decisions after the blind-break</w:t>
      </w:r>
    </w:p>
    <w:p w:rsidR="00B0268C" w:rsidRDefault="00B0268C">
      <w:pPr>
        <w:pStyle w:val="BodyText"/>
        <w:spacing w:before="2"/>
        <w:rPr>
          <w:rFonts w:ascii="Arial"/>
          <w:b/>
        </w:rPr>
      </w:pPr>
    </w:p>
    <w:p w:rsidR="00B0268C" w:rsidRDefault="00C408FB">
      <w:pPr>
        <w:pStyle w:val="Heading2"/>
        <w:ind w:left="214" w:firstLine="0"/>
      </w:pPr>
      <w:bookmarkStart w:id="109" w:name="_bookmark109"/>
      <w:bookmarkEnd w:id="109"/>
      <w:r>
        <w:t>Record of analysis decisions</w:t>
      </w:r>
    </w:p>
    <w:p w:rsidR="00B0268C" w:rsidRDefault="00B0268C">
      <w:pPr>
        <w:pStyle w:val="BodyText"/>
        <w:spacing w:before="1"/>
        <w:rPr>
          <w:rFonts w:ascii="Arial"/>
          <w:b/>
          <w:sz w:val="28"/>
        </w:rPr>
      </w:pPr>
    </w:p>
    <w:p w:rsidR="00B0268C" w:rsidRDefault="00C408FB">
      <w:pPr>
        <w:pStyle w:val="ListParagraph"/>
        <w:numPr>
          <w:ilvl w:val="0"/>
          <w:numId w:val="2"/>
        </w:numPr>
        <w:tabs>
          <w:tab w:val="left" w:pos="455"/>
        </w:tabs>
        <w:spacing w:line="276" w:lineRule="auto"/>
        <w:ind w:right="271" w:firstLine="0"/>
        <w:jc w:val="both"/>
        <w:rPr>
          <w:sz w:val="24"/>
        </w:rPr>
      </w:pPr>
      <w:r>
        <w:rPr>
          <w:sz w:val="24"/>
        </w:rPr>
        <w:t xml:space="preserve">There were some patients that were randomised using the wrong stratification category after looking at the actual continuous values at baseline. Therefore, the actual categorised baseline values of stratifying covariates, rather than those used in the randomisation which included </w:t>
      </w:r>
      <w:proofErr w:type="gramStart"/>
      <w:r>
        <w:rPr>
          <w:sz w:val="24"/>
        </w:rPr>
        <w:t>errors,</w:t>
      </w:r>
      <w:proofErr w:type="gramEnd"/>
      <w:r>
        <w:rPr>
          <w:sz w:val="24"/>
        </w:rPr>
        <w:t xml:space="preserve"> will be used in the outcome models, so that any baseline confounding by these is more fully adjusted for, and analyses are consistent with subgroup analyses using the same categorisations of these covariates. There was </w:t>
      </w:r>
      <w:proofErr w:type="gramStart"/>
      <w:r>
        <w:rPr>
          <w:sz w:val="24"/>
        </w:rPr>
        <w:t>agreement  for</w:t>
      </w:r>
      <w:proofErr w:type="gramEnd"/>
      <w:r>
        <w:rPr>
          <w:sz w:val="24"/>
        </w:rPr>
        <w:t xml:space="preserve"> this  approach  as  the trial employs minimisation. The DMC Chair approved this decision on 13</w:t>
      </w:r>
      <w:r>
        <w:rPr>
          <w:sz w:val="24"/>
          <w:vertAlign w:val="superscript"/>
        </w:rPr>
        <w:t>th</w:t>
      </w:r>
      <w:r>
        <w:rPr>
          <w:sz w:val="24"/>
        </w:rPr>
        <w:t xml:space="preserve"> February</w:t>
      </w:r>
      <w:r>
        <w:rPr>
          <w:spacing w:val="-15"/>
          <w:sz w:val="24"/>
        </w:rPr>
        <w:t xml:space="preserve"> </w:t>
      </w:r>
      <w:r>
        <w:rPr>
          <w:sz w:val="24"/>
        </w:rPr>
        <w:t>2019.</w:t>
      </w:r>
    </w:p>
    <w:p w:rsidR="00B0268C" w:rsidRDefault="00B0268C">
      <w:pPr>
        <w:pStyle w:val="BodyText"/>
        <w:spacing w:before="4"/>
        <w:rPr>
          <w:sz w:val="41"/>
        </w:rPr>
      </w:pPr>
    </w:p>
    <w:p w:rsidR="00B0268C" w:rsidRDefault="00C408FB">
      <w:pPr>
        <w:pStyle w:val="ListParagraph"/>
        <w:numPr>
          <w:ilvl w:val="0"/>
          <w:numId w:val="2"/>
        </w:numPr>
        <w:tabs>
          <w:tab w:val="left" w:pos="517"/>
        </w:tabs>
        <w:spacing w:line="276" w:lineRule="auto"/>
        <w:ind w:right="267" w:firstLine="0"/>
        <w:jc w:val="both"/>
        <w:rPr>
          <w:sz w:val="24"/>
        </w:rPr>
      </w:pPr>
      <w:r>
        <w:rPr>
          <w:sz w:val="24"/>
        </w:rPr>
        <w:t>There were three participants with BCVA scores missing at baseline due to not having completed the one meter test despite the four meter test being less than 20. These</w:t>
      </w:r>
      <w:r>
        <w:rPr>
          <w:spacing w:val="-9"/>
          <w:sz w:val="24"/>
        </w:rPr>
        <w:t xml:space="preserve"> </w:t>
      </w:r>
      <w:r>
        <w:rPr>
          <w:sz w:val="24"/>
        </w:rPr>
        <w:t>were:</w:t>
      </w:r>
    </w:p>
    <w:p w:rsidR="00B0268C" w:rsidRDefault="00C408FB">
      <w:pPr>
        <w:pStyle w:val="BodyText"/>
        <w:spacing w:before="199"/>
        <w:ind w:left="214" w:right="3244"/>
        <w:jc w:val="both"/>
      </w:pPr>
      <w:r>
        <w:t xml:space="preserve">Participant 11014 who had a score of 19 in the four meter </w:t>
      </w:r>
      <w:r>
        <w:rPr>
          <w:spacing w:val="-4"/>
        </w:rPr>
        <w:t xml:space="preserve">test. </w:t>
      </w:r>
      <w:r>
        <w:t xml:space="preserve">Participant 16171 who had a score of 17 in the four meter </w:t>
      </w:r>
      <w:r>
        <w:rPr>
          <w:spacing w:val="-4"/>
        </w:rPr>
        <w:t xml:space="preserve">test. </w:t>
      </w:r>
      <w:r>
        <w:t>Participant 10368 who had a score of 4 in the four meter</w:t>
      </w:r>
      <w:r>
        <w:rPr>
          <w:spacing w:val="-11"/>
        </w:rPr>
        <w:t xml:space="preserve"> </w:t>
      </w:r>
      <w:r>
        <w:t>test.</w:t>
      </w:r>
    </w:p>
    <w:p w:rsidR="00B0268C" w:rsidRDefault="00B0268C">
      <w:pPr>
        <w:pStyle w:val="BodyText"/>
        <w:spacing w:before="2"/>
      </w:pPr>
    </w:p>
    <w:p w:rsidR="00B0268C" w:rsidRDefault="00C408FB">
      <w:pPr>
        <w:pStyle w:val="BodyText"/>
        <w:spacing w:line="276" w:lineRule="auto"/>
        <w:ind w:left="214" w:right="273"/>
        <w:jc w:val="both"/>
      </w:pPr>
      <w:r>
        <w:t>According to the eligibility criteria, which requires BCVA to be &gt;=19, participant 11014 was in fact eligible but not necessarily the other two, who despite being randomised, have not met proof of eligibility beyond doubt as would be preferred for a per protocol population. Therefore, for the PP analysis P11014 will be included (using the missing indicator method as planned), P16171 and P10368 will be excluded, and a sensitivity analysis for the main Per Protocol analysis at 100 weeks will be carried out as</w:t>
      </w:r>
      <w:r>
        <w:rPr>
          <w:spacing w:val="1"/>
        </w:rPr>
        <w:t xml:space="preserve"> </w:t>
      </w:r>
      <w:r>
        <w:t>follows:</w:t>
      </w:r>
    </w:p>
    <w:p w:rsidR="00B0268C" w:rsidRDefault="00C408FB">
      <w:pPr>
        <w:pStyle w:val="ListParagraph"/>
        <w:numPr>
          <w:ilvl w:val="0"/>
          <w:numId w:val="1"/>
        </w:numPr>
        <w:tabs>
          <w:tab w:val="left" w:pos="765"/>
          <w:tab w:val="left" w:pos="766"/>
        </w:tabs>
        <w:spacing w:before="196"/>
        <w:rPr>
          <w:sz w:val="24"/>
        </w:rPr>
      </w:pPr>
      <w:r>
        <w:rPr>
          <w:sz w:val="24"/>
        </w:rPr>
        <w:t>Participant 16171 will be included in the PP population but not participant</w:t>
      </w:r>
      <w:r>
        <w:rPr>
          <w:spacing w:val="-4"/>
          <w:sz w:val="24"/>
        </w:rPr>
        <w:t xml:space="preserve"> </w:t>
      </w:r>
      <w:r>
        <w:rPr>
          <w:sz w:val="24"/>
        </w:rPr>
        <w:t>10368.</w:t>
      </w:r>
    </w:p>
    <w:p w:rsidR="00B0268C" w:rsidRDefault="00C408FB">
      <w:pPr>
        <w:pStyle w:val="ListParagraph"/>
        <w:numPr>
          <w:ilvl w:val="0"/>
          <w:numId w:val="1"/>
        </w:numPr>
        <w:tabs>
          <w:tab w:val="left" w:pos="720"/>
          <w:tab w:val="left" w:pos="721"/>
        </w:tabs>
        <w:spacing w:before="133"/>
        <w:ind w:left="720" w:hanging="440"/>
        <w:rPr>
          <w:sz w:val="24"/>
        </w:rPr>
      </w:pPr>
      <w:r>
        <w:rPr>
          <w:sz w:val="24"/>
        </w:rPr>
        <w:t>Participant 10368 will be included in the PP population but not participant</w:t>
      </w:r>
      <w:r>
        <w:rPr>
          <w:spacing w:val="-5"/>
          <w:sz w:val="24"/>
        </w:rPr>
        <w:t xml:space="preserve"> </w:t>
      </w:r>
      <w:r>
        <w:rPr>
          <w:sz w:val="24"/>
        </w:rPr>
        <w:t>16171</w:t>
      </w:r>
    </w:p>
    <w:p w:rsidR="00B0268C" w:rsidRPr="00C408FB" w:rsidRDefault="00C408FB" w:rsidP="00C408FB">
      <w:pPr>
        <w:pStyle w:val="ListParagraph"/>
        <w:numPr>
          <w:ilvl w:val="0"/>
          <w:numId w:val="1"/>
        </w:numPr>
        <w:tabs>
          <w:tab w:val="left" w:pos="765"/>
          <w:tab w:val="left" w:pos="766"/>
        </w:tabs>
        <w:spacing w:before="132"/>
        <w:rPr>
          <w:sz w:val="24"/>
        </w:rPr>
      </w:pPr>
      <w:r>
        <w:rPr>
          <w:sz w:val="24"/>
        </w:rPr>
        <w:t>Both participants (16171 and 10368) will be included in the PP</w:t>
      </w:r>
      <w:r>
        <w:rPr>
          <w:spacing w:val="-3"/>
          <w:sz w:val="24"/>
        </w:rPr>
        <w:t xml:space="preserve"> </w:t>
      </w:r>
      <w:r>
        <w:rPr>
          <w:sz w:val="24"/>
        </w:rPr>
        <w:t>population.</w:t>
      </w:r>
    </w:p>
    <w:p w:rsidR="00B0268C" w:rsidRDefault="00B0268C">
      <w:pPr>
        <w:pStyle w:val="BodyText"/>
        <w:rPr>
          <w:sz w:val="26"/>
        </w:rPr>
      </w:pPr>
    </w:p>
    <w:p w:rsidR="00B0268C" w:rsidRDefault="00C408FB">
      <w:pPr>
        <w:pStyle w:val="BodyText"/>
        <w:spacing w:before="174"/>
        <w:ind w:left="214" w:right="271"/>
        <w:jc w:val="both"/>
      </w:pPr>
      <w:r>
        <w:t>This decision was agreed among statisticians on 27</w:t>
      </w:r>
      <w:r>
        <w:rPr>
          <w:vertAlign w:val="superscript"/>
        </w:rPr>
        <w:t>th</w:t>
      </w:r>
      <w:r>
        <w:t xml:space="preserve"> February </w:t>
      </w:r>
      <w:r w:rsidR="003B5AC0">
        <w:t>2019 and approved by the Chief I</w:t>
      </w:r>
      <w:bookmarkStart w:id="110" w:name="_GoBack"/>
      <w:bookmarkEnd w:id="110"/>
      <w:r>
        <w:t>nvestigator on 1</w:t>
      </w:r>
      <w:r>
        <w:rPr>
          <w:vertAlign w:val="superscript"/>
        </w:rPr>
        <w:t>st</w:t>
      </w:r>
      <w:r>
        <w:t xml:space="preserve"> March 2019. This Document was signed between 1</w:t>
      </w:r>
      <w:r w:rsidRPr="00C408FB">
        <w:rPr>
          <w:vertAlign w:val="superscript"/>
        </w:rPr>
        <w:t>st</w:t>
      </w:r>
      <w:r>
        <w:t xml:space="preserve"> March and 3</w:t>
      </w:r>
      <w:r w:rsidRPr="00C408FB">
        <w:rPr>
          <w:vertAlign w:val="superscript"/>
        </w:rPr>
        <w:t>rd</w:t>
      </w:r>
      <w:r>
        <w:t xml:space="preserve"> May 2019 by Dr Joana </w:t>
      </w:r>
      <w:proofErr w:type="spellStart"/>
      <w:r>
        <w:t>Vasconcelos</w:t>
      </w:r>
      <w:proofErr w:type="spellEnd"/>
      <w:r>
        <w:t xml:space="preserve">, Trial Statistician, Professor Toby Prevost, Lead Statistician, Mr Philip Hykin, Chief Investigator, Professor Sarah Walker, DMC Chair and Professor Susan </w:t>
      </w:r>
      <w:proofErr w:type="spellStart"/>
      <w:r>
        <w:t>Downes</w:t>
      </w:r>
      <w:proofErr w:type="spellEnd"/>
      <w:r>
        <w:t>, TSC Chair.</w:t>
      </w:r>
    </w:p>
    <w:p w:rsidR="00B0268C" w:rsidRDefault="00B0268C">
      <w:pPr>
        <w:jc w:val="both"/>
      </w:pPr>
    </w:p>
    <w:p w:rsidR="00C408FB" w:rsidRDefault="00C408FB">
      <w:pPr>
        <w:jc w:val="both"/>
      </w:pPr>
    </w:p>
    <w:p w:rsidR="00B0268C" w:rsidRDefault="00B0268C">
      <w:pPr>
        <w:pStyle w:val="BodyText"/>
        <w:rPr>
          <w:sz w:val="20"/>
        </w:rPr>
      </w:pPr>
    </w:p>
    <w:p w:rsidR="00B0268C" w:rsidRDefault="00B0268C">
      <w:pPr>
        <w:pStyle w:val="BodyText"/>
        <w:spacing w:before="4"/>
      </w:pPr>
    </w:p>
    <w:sectPr w:rsidR="00B0268C">
      <w:pgSz w:w="11910" w:h="16840"/>
      <w:pgMar w:top="1040" w:right="1200" w:bottom="1660" w:left="1260" w:header="712" w:footer="14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8FB" w:rsidRDefault="00C408FB">
      <w:r>
        <w:separator/>
      </w:r>
    </w:p>
  </w:endnote>
  <w:endnote w:type="continuationSeparator" w:id="0">
    <w:p w:rsidR="00C408FB" w:rsidRDefault="00C40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0"/>
      </w:rPr>
    </w:pPr>
    <w:r>
      <w:pict>
        <v:shapetype id="_x0000_t202" coordsize="21600,21600" o:spt="202" path="m,l,21600r21600,l21600,xe">
          <v:stroke joinstyle="miter"/>
          <v:path gradientshapeok="t" o:connecttype="rect"/>
        </v:shapetype>
        <v:shape id="_x0000_s1031" type="#_x0000_t202" style="position:absolute;margin-left:72.7pt;margin-top:757.45pt;width:87.7pt;height:14.35pt;z-index:-254802944;mso-position-horizontal-relative:page;mso-position-vertical-relative:page" filled="f" stroked="f">
          <v:textbox inset="0,0,0,0">
            <w:txbxContent>
              <w:p w:rsidR="00C408FB" w:rsidRDefault="00C408FB">
                <w:pPr>
                  <w:spacing w:before="13"/>
                  <w:ind w:left="20"/>
                  <w:rPr>
                    <w:rFonts w:ascii="Arial"/>
                  </w:rPr>
                </w:pPr>
                <w:r>
                  <w:rPr>
                    <w:rFonts w:ascii="Arial"/>
                  </w:rPr>
                  <w:t>LEAVO SAP v5.4</w:t>
                </w:r>
              </w:p>
            </w:txbxContent>
          </v:textbox>
          <w10:wrap anchorx="page" anchory="page"/>
        </v:shape>
      </w:pict>
    </w:r>
    <w:r>
      <w:pict>
        <v:shape id="_x0000_s1030" type="#_x0000_t202" style="position:absolute;margin-left:419.6pt;margin-top:757.45pt;width:70.65pt;height:27.1pt;z-index:-254801920;mso-position-horizontal-relative:page;mso-position-vertical-relative:page" filled="f" stroked="f">
          <v:textbox inset="0,0,0,0">
            <w:txbxContent>
              <w:p w:rsidR="00C408FB" w:rsidRDefault="00C408FB">
                <w:pPr>
                  <w:spacing w:before="13"/>
                  <w:ind w:left="72"/>
                  <w:rPr>
                    <w:rFonts w:ascii="Arial"/>
                  </w:rPr>
                </w:pPr>
                <w:r>
                  <w:rPr>
                    <w:rFonts w:ascii="Arial"/>
                  </w:rPr>
                  <w:t>1/3//2019</w:t>
                </w:r>
              </w:p>
              <w:p w:rsidR="00C408FB" w:rsidRDefault="00C408FB">
                <w:pPr>
                  <w:spacing w:before="2"/>
                  <w:ind w:left="20"/>
                  <w:rPr>
                    <w:rFonts w:ascii="Arial"/>
                  </w:rPr>
                </w:pPr>
                <w:r>
                  <w:rPr>
                    <w:rFonts w:ascii="Arial"/>
                  </w:rPr>
                  <w:t xml:space="preserve">Page </w:t>
                </w:r>
                <w:r>
                  <w:fldChar w:fldCharType="begin"/>
                </w:r>
                <w:r>
                  <w:rPr>
                    <w:rFonts w:ascii="Arial"/>
                  </w:rPr>
                  <w:instrText xml:space="preserve"> PAGE </w:instrText>
                </w:r>
                <w:r>
                  <w:fldChar w:fldCharType="separate"/>
                </w:r>
                <w:r w:rsidR="003B5AC0">
                  <w:rPr>
                    <w:rFonts w:ascii="Arial"/>
                    <w:noProof/>
                  </w:rPr>
                  <w:t>18</w:t>
                </w:r>
                <w:r>
                  <w:fldChar w:fldCharType="end"/>
                </w:r>
                <w:r>
                  <w:rPr>
                    <w:rFonts w:ascii="Arial"/>
                  </w:rPr>
                  <w:t xml:space="preserve"> of 44</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0"/>
      </w:rPr>
    </w:pPr>
    <w:r>
      <w:pict>
        <v:shapetype id="_x0000_t202" coordsize="21600,21600" o:spt="202" path="m,l,21600r21600,l21600,xe">
          <v:stroke joinstyle="miter"/>
          <v:path gradientshapeok="t" o:connecttype="rect"/>
        </v:shapetype>
        <v:shape id="_x0000_s1029" type="#_x0000_t202" style="position:absolute;margin-left:72.7pt;margin-top:510.9pt;width:87.7pt;height:14.35pt;z-index:-254800896;mso-position-horizontal-relative:page;mso-position-vertical-relative:page" filled="f" stroked="f">
          <v:textbox inset="0,0,0,0">
            <w:txbxContent>
              <w:p w:rsidR="00C408FB" w:rsidRDefault="00C408FB">
                <w:pPr>
                  <w:spacing w:before="13"/>
                  <w:ind w:left="20"/>
                  <w:rPr>
                    <w:rFonts w:ascii="Arial"/>
                  </w:rPr>
                </w:pPr>
                <w:r>
                  <w:rPr>
                    <w:rFonts w:ascii="Arial"/>
                  </w:rPr>
                  <w:t>LEAVO SAP v5.4</w:t>
                </w:r>
              </w:p>
            </w:txbxContent>
          </v:textbox>
          <w10:wrap anchorx="page" anchory="page"/>
        </v:shape>
      </w:pict>
    </w:r>
    <w:r>
      <w:pict>
        <v:shape id="_x0000_s1028" type="#_x0000_t202" style="position:absolute;margin-left:419.55pt;margin-top:510.9pt;width:70.7pt;height:27.1pt;z-index:-254799872;mso-position-horizontal-relative:page;mso-position-vertical-relative:page" filled="f" stroked="f">
          <v:textbox inset="0,0,0,0">
            <w:txbxContent>
              <w:p w:rsidR="00C408FB" w:rsidRDefault="00C408FB">
                <w:pPr>
                  <w:spacing w:before="13"/>
                  <w:ind w:left="72"/>
                  <w:rPr>
                    <w:rFonts w:ascii="Arial"/>
                  </w:rPr>
                </w:pPr>
                <w:r>
                  <w:rPr>
                    <w:rFonts w:ascii="Arial"/>
                  </w:rPr>
                  <w:t>1/3//2019</w:t>
                </w:r>
              </w:p>
              <w:p w:rsidR="00C408FB" w:rsidRDefault="00C408FB">
                <w:pPr>
                  <w:spacing w:before="2"/>
                  <w:ind w:left="20"/>
                  <w:rPr>
                    <w:rFonts w:ascii="Arial"/>
                  </w:rPr>
                </w:pPr>
                <w:r>
                  <w:rPr>
                    <w:rFonts w:ascii="Arial"/>
                  </w:rPr>
                  <w:t>Page 19 of 44</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0"/>
      </w:rPr>
    </w:pPr>
    <w:r>
      <w:pict>
        <v:shapetype id="_x0000_t202" coordsize="21600,21600" o:spt="202" path="m,l,21600r21600,l21600,xe">
          <v:stroke joinstyle="miter"/>
          <v:path gradientshapeok="t" o:connecttype="rect"/>
        </v:shapetype>
        <v:shape id="_x0000_s1026" type="#_x0000_t202" style="position:absolute;margin-left:72.7pt;margin-top:757.45pt;width:87.7pt;height:14.35pt;z-index:-254797824;mso-position-horizontal-relative:page;mso-position-vertical-relative:page" filled="f" stroked="f">
          <v:textbox inset="0,0,0,0">
            <w:txbxContent>
              <w:p w:rsidR="00C408FB" w:rsidRDefault="00C408FB">
                <w:pPr>
                  <w:spacing w:before="13"/>
                  <w:ind w:left="20"/>
                  <w:rPr>
                    <w:rFonts w:ascii="Arial"/>
                  </w:rPr>
                </w:pPr>
                <w:r>
                  <w:rPr>
                    <w:rFonts w:ascii="Arial"/>
                  </w:rPr>
                  <w:t>LEAVO SAP v5.4</w:t>
                </w:r>
              </w:p>
            </w:txbxContent>
          </v:textbox>
          <w10:wrap anchorx="page" anchory="page"/>
        </v:shape>
      </w:pict>
    </w:r>
    <w:r>
      <w:pict>
        <v:shape id="_x0000_s1025" type="#_x0000_t202" style="position:absolute;margin-left:419.6pt;margin-top:757.45pt;width:70.65pt;height:27.1pt;z-index:-254796800;mso-position-horizontal-relative:page;mso-position-vertical-relative:page" filled="f" stroked="f">
          <v:textbox inset="0,0,0,0">
            <w:txbxContent>
              <w:p w:rsidR="00C408FB" w:rsidRDefault="00C408FB">
                <w:pPr>
                  <w:spacing w:before="13"/>
                  <w:ind w:left="72"/>
                  <w:rPr>
                    <w:rFonts w:ascii="Arial"/>
                  </w:rPr>
                </w:pPr>
                <w:r>
                  <w:rPr>
                    <w:rFonts w:ascii="Arial"/>
                  </w:rPr>
                  <w:t>1/3//2019</w:t>
                </w:r>
              </w:p>
              <w:p w:rsidR="00C408FB" w:rsidRDefault="00C408FB">
                <w:pPr>
                  <w:spacing w:before="2"/>
                  <w:ind w:left="20"/>
                  <w:rPr>
                    <w:rFonts w:ascii="Arial"/>
                  </w:rPr>
                </w:pPr>
                <w:r>
                  <w:rPr>
                    <w:rFonts w:ascii="Arial"/>
                  </w:rPr>
                  <w:t xml:space="preserve">Page </w:t>
                </w:r>
                <w:r>
                  <w:fldChar w:fldCharType="begin"/>
                </w:r>
                <w:r>
                  <w:rPr>
                    <w:rFonts w:ascii="Arial"/>
                  </w:rPr>
                  <w:instrText xml:space="preserve"> PAGE </w:instrText>
                </w:r>
                <w:r>
                  <w:fldChar w:fldCharType="separate"/>
                </w:r>
                <w:r w:rsidR="003B5AC0">
                  <w:rPr>
                    <w:rFonts w:ascii="Arial"/>
                    <w:noProof/>
                  </w:rPr>
                  <w:t>39</w:t>
                </w:r>
                <w:r>
                  <w:fldChar w:fldCharType="end"/>
                </w:r>
                <w:r>
                  <w:rPr>
                    <w:rFonts w:ascii="Arial"/>
                  </w:rPr>
                  <w:t xml:space="preserve"> of 44</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8FB" w:rsidRDefault="00C408FB">
      <w:r>
        <w:separator/>
      </w:r>
    </w:p>
  </w:footnote>
  <w:footnote w:type="continuationSeparator" w:id="0">
    <w:p w:rsidR="00C408FB" w:rsidRDefault="00C40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0"/>
      </w:rPr>
    </w:pPr>
    <w:r>
      <w:pict>
        <v:shapetype id="_x0000_t202" coordsize="21600,21600" o:spt="202" path="m,l,21600r21600,l21600,xe">
          <v:stroke joinstyle="miter"/>
          <v:path gradientshapeok="t" o:connecttype="rect"/>
        </v:shapetype>
        <v:shape id="_x0000_s1032" type="#_x0000_t202" style="position:absolute;margin-left:72.7pt;margin-top:34.6pt;width:171.85pt;height:15.45pt;z-index:-254803968;mso-position-horizontal-relative:page;mso-position-vertical-relative:page" filled="f" stroked="f">
          <v:textbox inset="0,0,0,0">
            <w:txbxContent>
              <w:p w:rsidR="00C408FB" w:rsidRDefault="00C408FB">
                <w:pPr>
                  <w:pStyle w:val="BodyText"/>
                  <w:spacing w:before="12"/>
                  <w:ind w:left="20"/>
                  <w:rPr>
                    <w:rFonts w:ascii="Arial"/>
                  </w:rPr>
                </w:pPr>
                <w:r>
                  <w:rPr>
                    <w:rFonts w:ascii="Arial"/>
                  </w:rPr>
                  <w:t>LEAVO Statistical Analysis Plan</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8FB" w:rsidRDefault="00C408FB">
    <w:pPr>
      <w:pStyle w:val="BodyText"/>
      <w:spacing w:line="14" w:lineRule="auto"/>
      <w:rPr>
        <w:sz w:val="20"/>
      </w:rPr>
    </w:pPr>
    <w:r>
      <w:pict>
        <v:shapetype id="_x0000_t202" coordsize="21600,21600" o:spt="202" path="m,l,21600r21600,l21600,xe">
          <v:stroke joinstyle="miter"/>
          <v:path gradientshapeok="t" o:connecttype="rect"/>
        </v:shapetype>
        <v:shape id="_x0000_s1027" type="#_x0000_t202" style="position:absolute;margin-left:72.7pt;margin-top:34.6pt;width:171.85pt;height:15.45pt;z-index:-254798848;mso-position-horizontal-relative:page;mso-position-vertical-relative:page" filled="f" stroked="f">
          <v:textbox inset="0,0,0,0">
            <w:txbxContent>
              <w:p w:rsidR="00C408FB" w:rsidRDefault="00C408FB">
                <w:pPr>
                  <w:pStyle w:val="BodyText"/>
                  <w:spacing w:before="12"/>
                  <w:ind w:left="20"/>
                  <w:rPr>
                    <w:rFonts w:ascii="Arial"/>
                  </w:rPr>
                </w:pPr>
                <w:r>
                  <w:rPr>
                    <w:rFonts w:ascii="Arial"/>
                  </w:rPr>
                  <w:t>LEAVO Statistical Analysis Plan</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D0A56"/>
    <w:multiLevelType w:val="multilevel"/>
    <w:tmpl w:val="BC56DAE6"/>
    <w:lvl w:ilvl="0">
      <w:start w:val="4"/>
      <w:numFmt w:val="decimal"/>
      <w:lvlText w:val="%1"/>
      <w:lvlJc w:val="left"/>
      <w:pPr>
        <w:ind w:left="114" w:hanging="662"/>
        <w:jc w:val="left"/>
      </w:pPr>
      <w:rPr>
        <w:rFonts w:hint="default"/>
        <w:lang w:val="en-GB" w:eastAsia="en-GB" w:bidi="en-GB"/>
      </w:rPr>
    </w:lvl>
    <w:lvl w:ilvl="1">
      <w:numFmt w:val="decimal"/>
      <w:lvlText w:val="%1.%2"/>
      <w:lvlJc w:val="left"/>
      <w:pPr>
        <w:ind w:left="114" w:hanging="662"/>
        <w:jc w:val="left"/>
      </w:pPr>
      <w:rPr>
        <w:rFonts w:hint="default"/>
        <w:b/>
        <w:bCs/>
        <w:w w:val="100"/>
        <w:lang w:val="en-GB" w:eastAsia="en-GB" w:bidi="en-GB"/>
      </w:rPr>
    </w:lvl>
    <w:lvl w:ilvl="2">
      <w:start w:val="1"/>
      <w:numFmt w:val="decimal"/>
      <w:lvlText w:val="%1.%2.%3"/>
      <w:lvlJc w:val="left"/>
      <w:pPr>
        <w:ind w:left="834" w:hanging="720"/>
        <w:jc w:val="left"/>
      </w:pPr>
      <w:rPr>
        <w:rFonts w:ascii="Arial" w:eastAsia="Arial" w:hAnsi="Arial" w:cs="Arial" w:hint="default"/>
        <w:b/>
        <w:bCs/>
        <w:spacing w:val="-1"/>
        <w:w w:val="99"/>
        <w:sz w:val="20"/>
        <w:szCs w:val="20"/>
        <w:lang w:val="en-GB" w:eastAsia="en-GB" w:bidi="en-GB"/>
      </w:rPr>
    </w:lvl>
    <w:lvl w:ilvl="3">
      <w:numFmt w:val="bullet"/>
      <w:lvlText w:val="•"/>
      <w:lvlJc w:val="left"/>
      <w:pPr>
        <w:ind w:left="2694" w:hanging="720"/>
      </w:pPr>
      <w:rPr>
        <w:rFonts w:hint="default"/>
        <w:lang w:val="en-GB" w:eastAsia="en-GB" w:bidi="en-GB"/>
      </w:rPr>
    </w:lvl>
    <w:lvl w:ilvl="4">
      <w:numFmt w:val="bullet"/>
      <w:lvlText w:val="•"/>
      <w:lvlJc w:val="left"/>
      <w:pPr>
        <w:ind w:left="3622" w:hanging="720"/>
      </w:pPr>
      <w:rPr>
        <w:rFonts w:hint="default"/>
        <w:lang w:val="en-GB" w:eastAsia="en-GB" w:bidi="en-GB"/>
      </w:rPr>
    </w:lvl>
    <w:lvl w:ilvl="5">
      <w:numFmt w:val="bullet"/>
      <w:lvlText w:val="•"/>
      <w:lvlJc w:val="left"/>
      <w:pPr>
        <w:ind w:left="4549" w:hanging="720"/>
      </w:pPr>
      <w:rPr>
        <w:rFonts w:hint="default"/>
        <w:lang w:val="en-GB" w:eastAsia="en-GB" w:bidi="en-GB"/>
      </w:rPr>
    </w:lvl>
    <w:lvl w:ilvl="6">
      <w:numFmt w:val="bullet"/>
      <w:lvlText w:val="•"/>
      <w:lvlJc w:val="left"/>
      <w:pPr>
        <w:ind w:left="5476" w:hanging="720"/>
      </w:pPr>
      <w:rPr>
        <w:rFonts w:hint="default"/>
        <w:lang w:val="en-GB" w:eastAsia="en-GB" w:bidi="en-GB"/>
      </w:rPr>
    </w:lvl>
    <w:lvl w:ilvl="7">
      <w:numFmt w:val="bullet"/>
      <w:lvlText w:val="•"/>
      <w:lvlJc w:val="left"/>
      <w:pPr>
        <w:ind w:left="6404" w:hanging="720"/>
      </w:pPr>
      <w:rPr>
        <w:rFonts w:hint="default"/>
        <w:lang w:val="en-GB" w:eastAsia="en-GB" w:bidi="en-GB"/>
      </w:rPr>
    </w:lvl>
    <w:lvl w:ilvl="8">
      <w:numFmt w:val="bullet"/>
      <w:lvlText w:val="•"/>
      <w:lvlJc w:val="left"/>
      <w:pPr>
        <w:ind w:left="7331" w:hanging="720"/>
      </w:pPr>
      <w:rPr>
        <w:rFonts w:hint="default"/>
        <w:lang w:val="en-GB" w:eastAsia="en-GB" w:bidi="en-GB"/>
      </w:rPr>
    </w:lvl>
  </w:abstractNum>
  <w:abstractNum w:abstractNumId="1">
    <w:nsid w:val="068A02B3"/>
    <w:multiLevelType w:val="multilevel"/>
    <w:tmpl w:val="2FAC36D0"/>
    <w:lvl w:ilvl="0">
      <w:start w:val="13"/>
      <w:numFmt w:val="decimal"/>
      <w:lvlText w:val="%1"/>
      <w:lvlJc w:val="left"/>
      <w:pPr>
        <w:ind w:left="838" w:hanging="624"/>
        <w:jc w:val="left"/>
      </w:pPr>
      <w:rPr>
        <w:rFonts w:hint="default"/>
        <w:lang w:val="en-GB" w:eastAsia="en-GB" w:bidi="en-GB"/>
      </w:rPr>
    </w:lvl>
    <w:lvl w:ilvl="1">
      <w:numFmt w:val="decimal"/>
      <w:lvlText w:val="%1.%2"/>
      <w:lvlJc w:val="left"/>
      <w:pPr>
        <w:ind w:left="838" w:hanging="624"/>
        <w:jc w:val="left"/>
      </w:pPr>
      <w:rPr>
        <w:rFonts w:hint="default"/>
        <w:b/>
        <w:bCs/>
        <w:spacing w:val="-1"/>
        <w:w w:val="100"/>
        <w:lang w:val="en-GB" w:eastAsia="en-GB" w:bidi="en-GB"/>
      </w:rPr>
    </w:lvl>
    <w:lvl w:ilvl="2">
      <w:numFmt w:val="bullet"/>
      <w:lvlText w:val="•"/>
      <w:lvlJc w:val="left"/>
      <w:pPr>
        <w:ind w:left="2561" w:hanging="624"/>
      </w:pPr>
      <w:rPr>
        <w:rFonts w:hint="default"/>
        <w:lang w:val="en-GB" w:eastAsia="en-GB" w:bidi="en-GB"/>
      </w:rPr>
    </w:lvl>
    <w:lvl w:ilvl="3">
      <w:numFmt w:val="bullet"/>
      <w:lvlText w:val="•"/>
      <w:lvlJc w:val="left"/>
      <w:pPr>
        <w:ind w:left="3421" w:hanging="624"/>
      </w:pPr>
      <w:rPr>
        <w:rFonts w:hint="default"/>
        <w:lang w:val="en-GB" w:eastAsia="en-GB" w:bidi="en-GB"/>
      </w:rPr>
    </w:lvl>
    <w:lvl w:ilvl="4">
      <w:numFmt w:val="bullet"/>
      <w:lvlText w:val="•"/>
      <w:lvlJc w:val="left"/>
      <w:pPr>
        <w:ind w:left="4282" w:hanging="624"/>
      </w:pPr>
      <w:rPr>
        <w:rFonts w:hint="default"/>
        <w:lang w:val="en-GB" w:eastAsia="en-GB" w:bidi="en-GB"/>
      </w:rPr>
    </w:lvl>
    <w:lvl w:ilvl="5">
      <w:numFmt w:val="bullet"/>
      <w:lvlText w:val="•"/>
      <w:lvlJc w:val="left"/>
      <w:pPr>
        <w:ind w:left="5143" w:hanging="624"/>
      </w:pPr>
      <w:rPr>
        <w:rFonts w:hint="default"/>
        <w:lang w:val="en-GB" w:eastAsia="en-GB" w:bidi="en-GB"/>
      </w:rPr>
    </w:lvl>
    <w:lvl w:ilvl="6">
      <w:numFmt w:val="bullet"/>
      <w:lvlText w:val="•"/>
      <w:lvlJc w:val="left"/>
      <w:pPr>
        <w:ind w:left="6003" w:hanging="624"/>
      </w:pPr>
      <w:rPr>
        <w:rFonts w:hint="default"/>
        <w:lang w:val="en-GB" w:eastAsia="en-GB" w:bidi="en-GB"/>
      </w:rPr>
    </w:lvl>
    <w:lvl w:ilvl="7">
      <w:numFmt w:val="bullet"/>
      <w:lvlText w:val="•"/>
      <w:lvlJc w:val="left"/>
      <w:pPr>
        <w:ind w:left="6864" w:hanging="624"/>
      </w:pPr>
      <w:rPr>
        <w:rFonts w:hint="default"/>
        <w:lang w:val="en-GB" w:eastAsia="en-GB" w:bidi="en-GB"/>
      </w:rPr>
    </w:lvl>
    <w:lvl w:ilvl="8">
      <w:numFmt w:val="bullet"/>
      <w:lvlText w:val="•"/>
      <w:lvlJc w:val="left"/>
      <w:pPr>
        <w:ind w:left="7725" w:hanging="624"/>
      </w:pPr>
      <w:rPr>
        <w:rFonts w:hint="default"/>
        <w:lang w:val="en-GB" w:eastAsia="en-GB" w:bidi="en-GB"/>
      </w:rPr>
    </w:lvl>
  </w:abstractNum>
  <w:abstractNum w:abstractNumId="2">
    <w:nsid w:val="0AFE6C4D"/>
    <w:multiLevelType w:val="multilevel"/>
    <w:tmpl w:val="230E5A20"/>
    <w:lvl w:ilvl="0">
      <w:start w:val="5"/>
      <w:numFmt w:val="decimal"/>
      <w:lvlText w:val="%1"/>
      <w:lvlJc w:val="left"/>
      <w:pPr>
        <w:ind w:left="584" w:hanging="471"/>
        <w:jc w:val="left"/>
      </w:pPr>
      <w:rPr>
        <w:rFonts w:hint="default"/>
        <w:lang w:val="en-GB" w:eastAsia="en-GB" w:bidi="en-GB"/>
      </w:rPr>
    </w:lvl>
    <w:lvl w:ilvl="1">
      <w:numFmt w:val="decimal"/>
      <w:lvlText w:val="%1.%2"/>
      <w:lvlJc w:val="left"/>
      <w:pPr>
        <w:ind w:left="584" w:hanging="471"/>
        <w:jc w:val="left"/>
      </w:pPr>
      <w:rPr>
        <w:rFonts w:hint="default"/>
        <w:b/>
        <w:bCs/>
        <w:w w:val="100"/>
        <w:lang w:val="en-GB" w:eastAsia="en-GB" w:bidi="en-GB"/>
      </w:rPr>
    </w:lvl>
    <w:lvl w:ilvl="2">
      <w:numFmt w:val="bullet"/>
      <w:lvlText w:val="•"/>
      <w:lvlJc w:val="left"/>
      <w:pPr>
        <w:ind w:left="2301" w:hanging="471"/>
      </w:pPr>
      <w:rPr>
        <w:rFonts w:hint="default"/>
        <w:lang w:val="en-GB" w:eastAsia="en-GB" w:bidi="en-GB"/>
      </w:rPr>
    </w:lvl>
    <w:lvl w:ilvl="3">
      <w:numFmt w:val="bullet"/>
      <w:lvlText w:val="•"/>
      <w:lvlJc w:val="left"/>
      <w:pPr>
        <w:ind w:left="3161" w:hanging="471"/>
      </w:pPr>
      <w:rPr>
        <w:rFonts w:hint="default"/>
        <w:lang w:val="en-GB" w:eastAsia="en-GB" w:bidi="en-GB"/>
      </w:rPr>
    </w:lvl>
    <w:lvl w:ilvl="4">
      <w:numFmt w:val="bullet"/>
      <w:lvlText w:val="•"/>
      <w:lvlJc w:val="left"/>
      <w:pPr>
        <w:ind w:left="4022" w:hanging="471"/>
      </w:pPr>
      <w:rPr>
        <w:rFonts w:hint="default"/>
        <w:lang w:val="en-GB" w:eastAsia="en-GB" w:bidi="en-GB"/>
      </w:rPr>
    </w:lvl>
    <w:lvl w:ilvl="5">
      <w:numFmt w:val="bullet"/>
      <w:lvlText w:val="•"/>
      <w:lvlJc w:val="left"/>
      <w:pPr>
        <w:ind w:left="4883" w:hanging="471"/>
      </w:pPr>
      <w:rPr>
        <w:rFonts w:hint="default"/>
        <w:lang w:val="en-GB" w:eastAsia="en-GB" w:bidi="en-GB"/>
      </w:rPr>
    </w:lvl>
    <w:lvl w:ilvl="6">
      <w:numFmt w:val="bullet"/>
      <w:lvlText w:val="•"/>
      <w:lvlJc w:val="left"/>
      <w:pPr>
        <w:ind w:left="5743" w:hanging="471"/>
      </w:pPr>
      <w:rPr>
        <w:rFonts w:hint="default"/>
        <w:lang w:val="en-GB" w:eastAsia="en-GB" w:bidi="en-GB"/>
      </w:rPr>
    </w:lvl>
    <w:lvl w:ilvl="7">
      <w:numFmt w:val="bullet"/>
      <w:lvlText w:val="•"/>
      <w:lvlJc w:val="left"/>
      <w:pPr>
        <w:ind w:left="6604" w:hanging="471"/>
      </w:pPr>
      <w:rPr>
        <w:rFonts w:hint="default"/>
        <w:lang w:val="en-GB" w:eastAsia="en-GB" w:bidi="en-GB"/>
      </w:rPr>
    </w:lvl>
    <w:lvl w:ilvl="8">
      <w:numFmt w:val="bullet"/>
      <w:lvlText w:val="•"/>
      <w:lvlJc w:val="left"/>
      <w:pPr>
        <w:ind w:left="7465" w:hanging="471"/>
      </w:pPr>
      <w:rPr>
        <w:rFonts w:hint="default"/>
        <w:lang w:val="en-GB" w:eastAsia="en-GB" w:bidi="en-GB"/>
      </w:rPr>
    </w:lvl>
  </w:abstractNum>
  <w:abstractNum w:abstractNumId="3">
    <w:nsid w:val="0B65552C"/>
    <w:multiLevelType w:val="multilevel"/>
    <w:tmpl w:val="07689AE8"/>
    <w:lvl w:ilvl="0">
      <w:start w:val="6"/>
      <w:numFmt w:val="decimal"/>
      <w:lvlText w:val="%1"/>
      <w:lvlJc w:val="left"/>
      <w:pPr>
        <w:ind w:left="584" w:hanging="471"/>
        <w:jc w:val="left"/>
      </w:pPr>
      <w:rPr>
        <w:rFonts w:hint="default"/>
        <w:lang w:val="en-GB" w:eastAsia="en-GB" w:bidi="en-GB"/>
      </w:rPr>
    </w:lvl>
    <w:lvl w:ilvl="1">
      <w:numFmt w:val="decimal"/>
      <w:lvlText w:val="%1.%2"/>
      <w:lvlJc w:val="left"/>
      <w:pPr>
        <w:ind w:left="584" w:hanging="471"/>
        <w:jc w:val="right"/>
      </w:pPr>
      <w:rPr>
        <w:rFonts w:hint="default"/>
        <w:b/>
        <w:bCs/>
        <w:w w:val="100"/>
        <w:lang w:val="en-GB" w:eastAsia="en-GB" w:bidi="en-GB"/>
      </w:rPr>
    </w:lvl>
    <w:lvl w:ilvl="2">
      <w:start w:val="1"/>
      <w:numFmt w:val="decimal"/>
      <w:lvlText w:val="%1.%2.%3"/>
      <w:lvlJc w:val="left"/>
      <w:pPr>
        <w:ind w:left="613" w:hanging="500"/>
        <w:jc w:val="left"/>
      </w:pPr>
      <w:rPr>
        <w:rFonts w:ascii="Arial" w:eastAsia="Arial" w:hAnsi="Arial" w:cs="Arial" w:hint="default"/>
        <w:b/>
        <w:bCs/>
        <w:spacing w:val="-1"/>
        <w:w w:val="99"/>
        <w:sz w:val="20"/>
        <w:szCs w:val="20"/>
        <w:lang w:val="en-GB" w:eastAsia="en-GB" w:bidi="en-GB"/>
      </w:rPr>
    </w:lvl>
    <w:lvl w:ilvl="3">
      <w:numFmt w:val="bullet"/>
      <w:lvlText w:val="•"/>
      <w:lvlJc w:val="left"/>
      <w:pPr>
        <w:ind w:left="2523" w:hanging="500"/>
      </w:pPr>
      <w:rPr>
        <w:rFonts w:hint="default"/>
        <w:lang w:val="en-GB" w:eastAsia="en-GB" w:bidi="en-GB"/>
      </w:rPr>
    </w:lvl>
    <w:lvl w:ilvl="4">
      <w:numFmt w:val="bullet"/>
      <w:lvlText w:val="•"/>
      <w:lvlJc w:val="left"/>
      <w:pPr>
        <w:ind w:left="3475" w:hanging="500"/>
      </w:pPr>
      <w:rPr>
        <w:rFonts w:hint="default"/>
        <w:lang w:val="en-GB" w:eastAsia="en-GB" w:bidi="en-GB"/>
      </w:rPr>
    </w:lvl>
    <w:lvl w:ilvl="5">
      <w:numFmt w:val="bullet"/>
      <w:lvlText w:val="•"/>
      <w:lvlJc w:val="left"/>
      <w:pPr>
        <w:ind w:left="4427" w:hanging="500"/>
      </w:pPr>
      <w:rPr>
        <w:rFonts w:hint="default"/>
        <w:lang w:val="en-GB" w:eastAsia="en-GB" w:bidi="en-GB"/>
      </w:rPr>
    </w:lvl>
    <w:lvl w:ilvl="6">
      <w:numFmt w:val="bullet"/>
      <w:lvlText w:val="•"/>
      <w:lvlJc w:val="left"/>
      <w:pPr>
        <w:ind w:left="5379" w:hanging="500"/>
      </w:pPr>
      <w:rPr>
        <w:rFonts w:hint="default"/>
        <w:lang w:val="en-GB" w:eastAsia="en-GB" w:bidi="en-GB"/>
      </w:rPr>
    </w:lvl>
    <w:lvl w:ilvl="7">
      <w:numFmt w:val="bullet"/>
      <w:lvlText w:val="•"/>
      <w:lvlJc w:val="left"/>
      <w:pPr>
        <w:ind w:left="6330" w:hanging="500"/>
      </w:pPr>
      <w:rPr>
        <w:rFonts w:hint="default"/>
        <w:lang w:val="en-GB" w:eastAsia="en-GB" w:bidi="en-GB"/>
      </w:rPr>
    </w:lvl>
    <w:lvl w:ilvl="8">
      <w:numFmt w:val="bullet"/>
      <w:lvlText w:val="•"/>
      <w:lvlJc w:val="left"/>
      <w:pPr>
        <w:ind w:left="7282" w:hanging="500"/>
      </w:pPr>
      <w:rPr>
        <w:rFonts w:hint="default"/>
        <w:lang w:val="en-GB" w:eastAsia="en-GB" w:bidi="en-GB"/>
      </w:rPr>
    </w:lvl>
  </w:abstractNum>
  <w:abstractNum w:abstractNumId="4">
    <w:nsid w:val="10E717B3"/>
    <w:multiLevelType w:val="hybridMultilevel"/>
    <w:tmpl w:val="D2524208"/>
    <w:lvl w:ilvl="0" w:tplc="8E04BEE0">
      <w:start w:val="1"/>
      <w:numFmt w:val="lowerRoman"/>
      <w:lvlText w:val="%1."/>
      <w:lvlJc w:val="left"/>
      <w:pPr>
        <w:ind w:left="300" w:hanging="187"/>
        <w:jc w:val="left"/>
      </w:pPr>
      <w:rPr>
        <w:rFonts w:ascii="Times New Roman" w:eastAsia="Times New Roman" w:hAnsi="Times New Roman" w:cs="Times New Roman" w:hint="default"/>
        <w:spacing w:val="-5"/>
        <w:w w:val="99"/>
        <w:sz w:val="24"/>
        <w:szCs w:val="24"/>
        <w:u w:val="single" w:color="000000"/>
        <w:lang w:val="en-GB" w:eastAsia="en-GB" w:bidi="en-GB"/>
      </w:rPr>
    </w:lvl>
    <w:lvl w:ilvl="1" w:tplc="1A241D32">
      <w:start w:val="1"/>
      <w:numFmt w:val="decimal"/>
      <w:lvlText w:val="%2."/>
      <w:lvlJc w:val="left"/>
      <w:pPr>
        <w:ind w:left="834" w:hanging="360"/>
        <w:jc w:val="left"/>
      </w:pPr>
      <w:rPr>
        <w:rFonts w:ascii="Times New Roman" w:eastAsia="Times New Roman" w:hAnsi="Times New Roman" w:cs="Times New Roman" w:hint="default"/>
        <w:spacing w:val="-3"/>
        <w:w w:val="99"/>
        <w:sz w:val="24"/>
        <w:szCs w:val="24"/>
        <w:lang w:val="en-GB" w:eastAsia="en-GB" w:bidi="en-GB"/>
      </w:rPr>
    </w:lvl>
    <w:lvl w:ilvl="2" w:tplc="7B70116E">
      <w:numFmt w:val="bullet"/>
      <w:lvlText w:val="•"/>
      <w:lvlJc w:val="left"/>
      <w:pPr>
        <w:ind w:left="1767" w:hanging="360"/>
      </w:pPr>
      <w:rPr>
        <w:rFonts w:hint="default"/>
        <w:lang w:val="en-GB" w:eastAsia="en-GB" w:bidi="en-GB"/>
      </w:rPr>
    </w:lvl>
    <w:lvl w:ilvl="3" w:tplc="FDCAE712">
      <w:numFmt w:val="bullet"/>
      <w:lvlText w:val="•"/>
      <w:lvlJc w:val="left"/>
      <w:pPr>
        <w:ind w:left="2694" w:hanging="360"/>
      </w:pPr>
      <w:rPr>
        <w:rFonts w:hint="default"/>
        <w:lang w:val="en-GB" w:eastAsia="en-GB" w:bidi="en-GB"/>
      </w:rPr>
    </w:lvl>
    <w:lvl w:ilvl="4" w:tplc="4D483202">
      <w:numFmt w:val="bullet"/>
      <w:lvlText w:val="•"/>
      <w:lvlJc w:val="left"/>
      <w:pPr>
        <w:ind w:left="3622" w:hanging="360"/>
      </w:pPr>
      <w:rPr>
        <w:rFonts w:hint="default"/>
        <w:lang w:val="en-GB" w:eastAsia="en-GB" w:bidi="en-GB"/>
      </w:rPr>
    </w:lvl>
    <w:lvl w:ilvl="5" w:tplc="DA0A582E">
      <w:numFmt w:val="bullet"/>
      <w:lvlText w:val="•"/>
      <w:lvlJc w:val="left"/>
      <w:pPr>
        <w:ind w:left="4549" w:hanging="360"/>
      </w:pPr>
      <w:rPr>
        <w:rFonts w:hint="default"/>
        <w:lang w:val="en-GB" w:eastAsia="en-GB" w:bidi="en-GB"/>
      </w:rPr>
    </w:lvl>
    <w:lvl w:ilvl="6" w:tplc="55D09774">
      <w:numFmt w:val="bullet"/>
      <w:lvlText w:val="•"/>
      <w:lvlJc w:val="left"/>
      <w:pPr>
        <w:ind w:left="5476" w:hanging="360"/>
      </w:pPr>
      <w:rPr>
        <w:rFonts w:hint="default"/>
        <w:lang w:val="en-GB" w:eastAsia="en-GB" w:bidi="en-GB"/>
      </w:rPr>
    </w:lvl>
    <w:lvl w:ilvl="7" w:tplc="D8781B80">
      <w:numFmt w:val="bullet"/>
      <w:lvlText w:val="•"/>
      <w:lvlJc w:val="left"/>
      <w:pPr>
        <w:ind w:left="6404" w:hanging="360"/>
      </w:pPr>
      <w:rPr>
        <w:rFonts w:hint="default"/>
        <w:lang w:val="en-GB" w:eastAsia="en-GB" w:bidi="en-GB"/>
      </w:rPr>
    </w:lvl>
    <w:lvl w:ilvl="8" w:tplc="7362E4A4">
      <w:numFmt w:val="bullet"/>
      <w:lvlText w:val="•"/>
      <w:lvlJc w:val="left"/>
      <w:pPr>
        <w:ind w:left="7331" w:hanging="360"/>
      </w:pPr>
      <w:rPr>
        <w:rFonts w:hint="default"/>
        <w:lang w:val="en-GB" w:eastAsia="en-GB" w:bidi="en-GB"/>
      </w:rPr>
    </w:lvl>
  </w:abstractNum>
  <w:abstractNum w:abstractNumId="5">
    <w:nsid w:val="136B2BE9"/>
    <w:multiLevelType w:val="multilevel"/>
    <w:tmpl w:val="2B6C4D7C"/>
    <w:lvl w:ilvl="0">
      <w:start w:val="13"/>
      <w:numFmt w:val="decimal"/>
      <w:lvlText w:val="%1"/>
      <w:lvlJc w:val="left"/>
      <w:pPr>
        <w:ind w:left="648" w:hanging="535"/>
        <w:jc w:val="left"/>
      </w:pPr>
      <w:rPr>
        <w:rFonts w:hint="default"/>
        <w:lang w:val="en-GB" w:eastAsia="en-GB" w:bidi="en-GB"/>
      </w:rPr>
    </w:lvl>
    <w:lvl w:ilvl="1">
      <w:numFmt w:val="decimal"/>
      <w:lvlText w:val="%1.%2"/>
      <w:lvlJc w:val="left"/>
      <w:pPr>
        <w:ind w:left="648" w:hanging="535"/>
        <w:jc w:val="right"/>
      </w:pPr>
      <w:rPr>
        <w:rFonts w:ascii="Arial" w:eastAsia="Arial" w:hAnsi="Arial" w:cs="Arial" w:hint="default"/>
        <w:b/>
        <w:bCs/>
        <w:w w:val="99"/>
        <w:sz w:val="24"/>
        <w:szCs w:val="24"/>
        <w:lang w:val="en-GB" w:eastAsia="en-GB" w:bidi="en-GB"/>
      </w:rPr>
    </w:lvl>
    <w:lvl w:ilvl="2">
      <w:numFmt w:val="bullet"/>
      <w:lvlText w:val="•"/>
      <w:lvlJc w:val="left"/>
      <w:pPr>
        <w:ind w:left="2349" w:hanging="535"/>
      </w:pPr>
      <w:rPr>
        <w:rFonts w:hint="default"/>
        <w:lang w:val="en-GB" w:eastAsia="en-GB" w:bidi="en-GB"/>
      </w:rPr>
    </w:lvl>
    <w:lvl w:ilvl="3">
      <w:numFmt w:val="bullet"/>
      <w:lvlText w:val="•"/>
      <w:lvlJc w:val="left"/>
      <w:pPr>
        <w:ind w:left="3203" w:hanging="535"/>
      </w:pPr>
      <w:rPr>
        <w:rFonts w:hint="default"/>
        <w:lang w:val="en-GB" w:eastAsia="en-GB" w:bidi="en-GB"/>
      </w:rPr>
    </w:lvl>
    <w:lvl w:ilvl="4">
      <w:numFmt w:val="bullet"/>
      <w:lvlText w:val="•"/>
      <w:lvlJc w:val="left"/>
      <w:pPr>
        <w:ind w:left="4058" w:hanging="535"/>
      </w:pPr>
      <w:rPr>
        <w:rFonts w:hint="default"/>
        <w:lang w:val="en-GB" w:eastAsia="en-GB" w:bidi="en-GB"/>
      </w:rPr>
    </w:lvl>
    <w:lvl w:ilvl="5">
      <w:numFmt w:val="bullet"/>
      <w:lvlText w:val="•"/>
      <w:lvlJc w:val="left"/>
      <w:pPr>
        <w:ind w:left="4913" w:hanging="535"/>
      </w:pPr>
      <w:rPr>
        <w:rFonts w:hint="default"/>
        <w:lang w:val="en-GB" w:eastAsia="en-GB" w:bidi="en-GB"/>
      </w:rPr>
    </w:lvl>
    <w:lvl w:ilvl="6">
      <w:numFmt w:val="bullet"/>
      <w:lvlText w:val="•"/>
      <w:lvlJc w:val="left"/>
      <w:pPr>
        <w:ind w:left="5767" w:hanging="535"/>
      </w:pPr>
      <w:rPr>
        <w:rFonts w:hint="default"/>
        <w:lang w:val="en-GB" w:eastAsia="en-GB" w:bidi="en-GB"/>
      </w:rPr>
    </w:lvl>
    <w:lvl w:ilvl="7">
      <w:numFmt w:val="bullet"/>
      <w:lvlText w:val="•"/>
      <w:lvlJc w:val="left"/>
      <w:pPr>
        <w:ind w:left="6622" w:hanging="535"/>
      </w:pPr>
      <w:rPr>
        <w:rFonts w:hint="default"/>
        <w:lang w:val="en-GB" w:eastAsia="en-GB" w:bidi="en-GB"/>
      </w:rPr>
    </w:lvl>
    <w:lvl w:ilvl="8">
      <w:numFmt w:val="bullet"/>
      <w:lvlText w:val="•"/>
      <w:lvlJc w:val="left"/>
      <w:pPr>
        <w:ind w:left="7477" w:hanging="535"/>
      </w:pPr>
      <w:rPr>
        <w:rFonts w:hint="default"/>
        <w:lang w:val="en-GB" w:eastAsia="en-GB" w:bidi="en-GB"/>
      </w:rPr>
    </w:lvl>
  </w:abstractNum>
  <w:abstractNum w:abstractNumId="6">
    <w:nsid w:val="13B54ADF"/>
    <w:multiLevelType w:val="multilevel"/>
    <w:tmpl w:val="ED4614EA"/>
    <w:lvl w:ilvl="0">
      <w:start w:val="4"/>
      <w:numFmt w:val="decimal"/>
      <w:lvlText w:val="%1"/>
      <w:lvlJc w:val="left"/>
      <w:pPr>
        <w:ind w:left="756" w:hanging="403"/>
        <w:jc w:val="left"/>
      </w:pPr>
      <w:rPr>
        <w:rFonts w:hint="default"/>
        <w:lang w:val="en-GB" w:eastAsia="en-GB" w:bidi="en-GB"/>
      </w:rPr>
    </w:lvl>
    <w:lvl w:ilvl="1">
      <w:start w:val="2"/>
      <w:numFmt w:val="decimal"/>
      <w:lvlText w:val="%1.%2"/>
      <w:lvlJc w:val="left"/>
      <w:pPr>
        <w:ind w:left="756" w:hanging="403"/>
        <w:jc w:val="left"/>
      </w:pPr>
      <w:rPr>
        <w:rFonts w:ascii="Arial" w:eastAsia="Arial" w:hAnsi="Arial" w:cs="Arial" w:hint="default"/>
        <w:b/>
        <w:bCs/>
        <w:w w:val="99"/>
        <w:sz w:val="24"/>
        <w:szCs w:val="24"/>
        <w:lang w:val="en-GB" w:eastAsia="en-GB" w:bidi="en-GB"/>
      </w:rPr>
    </w:lvl>
    <w:lvl w:ilvl="2">
      <w:start w:val="1"/>
      <w:numFmt w:val="decimal"/>
      <w:lvlText w:val="%1.%2.%3"/>
      <w:lvlJc w:val="left"/>
      <w:pPr>
        <w:ind w:left="1434" w:hanging="840"/>
        <w:jc w:val="left"/>
      </w:pPr>
      <w:rPr>
        <w:rFonts w:ascii="Times New Roman" w:eastAsia="Times New Roman" w:hAnsi="Times New Roman" w:cs="Times New Roman" w:hint="default"/>
        <w:spacing w:val="-5"/>
        <w:w w:val="99"/>
        <w:sz w:val="24"/>
        <w:szCs w:val="24"/>
        <w:lang w:val="en-GB" w:eastAsia="en-GB" w:bidi="en-GB"/>
      </w:rPr>
    </w:lvl>
    <w:lvl w:ilvl="3">
      <w:numFmt w:val="bullet"/>
      <w:lvlText w:val="•"/>
      <w:lvlJc w:val="left"/>
      <w:pPr>
        <w:ind w:left="3161" w:hanging="840"/>
      </w:pPr>
      <w:rPr>
        <w:rFonts w:hint="default"/>
        <w:lang w:val="en-GB" w:eastAsia="en-GB" w:bidi="en-GB"/>
      </w:rPr>
    </w:lvl>
    <w:lvl w:ilvl="4">
      <w:numFmt w:val="bullet"/>
      <w:lvlText w:val="•"/>
      <w:lvlJc w:val="left"/>
      <w:pPr>
        <w:ind w:left="4022" w:hanging="840"/>
      </w:pPr>
      <w:rPr>
        <w:rFonts w:hint="default"/>
        <w:lang w:val="en-GB" w:eastAsia="en-GB" w:bidi="en-GB"/>
      </w:rPr>
    </w:lvl>
    <w:lvl w:ilvl="5">
      <w:numFmt w:val="bullet"/>
      <w:lvlText w:val="•"/>
      <w:lvlJc w:val="left"/>
      <w:pPr>
        <w:ind w:left="4882" w:hanging="840"/>
      </w:pPr>
      <w:rPr>
        <w:rFonts w:hint="default"/>
        <w:lang w:val="en-GB" w:eastAsia="en-GB" w:bidi="en-GB"/>
      </w:rPr>
    </w:lvl>
    <w:lvl w:ilvl="6">
      <w:numFmt w:val="bullet"/>
      <w:lvlText w:val="•"/>
      <w:lvlJc w:val="left"/>
      <w:pPr>
        <w:ind w:left="5743" w:hanging="840"/>
      </w:pPr>
      <w:rPr>
        <w:rFonts w:hint="default"/>
        <w:lang w:val="en-GB" w:eastAsia="en-GB" w:bidi="en-GB"/>
      </w:rPr>
    </w:lvl>
    <w:lvl w:ilvl="7">
      <w:numFmt w:val="bullet"/>
      <w:lvlText w:val="•"/>
      <w:lvlJc w:val="left"/>
      <w:pPr>
        <w:ind w:left="6604" w:hanging="840"/>
      </w:pPr>
      <w:rPr>
        <w:rFonts w:hint="default"/>
        <w:lang w:val="en-GB" w:eastAsia="en-GB" w:bidi="en-GB"/>
      </w:rPr>
    </w:lvl>
    <w:lvl w:ilvl="8">
      <w:numFmt w:val="bullet"/>
      <w:lvlText w:val="•"/>
      <w:lvlJc w:val="left"/>
      <w:pPr>
        <w:ind w:left="7464" w:hanging="840"/>
      </w:pPr>
      <w:rPr>
        <w:rFonts w:hint="default"/>
        <w:lang w:val="en-GB" w:eastAsia="en-GB" w:bidi="en-GB"/>
      </w:rPr>
    </w:lvl>
  </w:abstractNum>
  <w:abstractNum w:abstractNumId="7">
    <w:nsid w:val="17486B3D"/>
    <w:multiLevelType w:val="multilevel"/>
    <w:tmpl w:val="C25AA1B0"/>
    <w:lvl w:ilvl="0">
      <w:start w:val="3"/>
      <w:numFmt w:val="decimal"/>
      <w:lvlText w:val="%1"/>
      <w:lvlJc w:val="left"/>
      <w:pPr>
        <w:ind w:left="581" w:hanging="468"/>
        <w:jc w:val="left"/>
      </w:pPr>
      <w:rPr>
        <w:rFonts w:hint="default"/>
        <w:lang w:val="en-GB" w:eastAsia="en-GB" w:bidi="en-GB"/>
      </w:rPr>
    </w:lvl>
    <w:lvl w:ilvl="1">
      <w:numFmt w:val="decimal"/>
      <w:lvlText w:val="%1.%2"/>
      <w:lvlJc w:val="left"/>
      <w:pPr>
        <w:ind w:left="581" w:hanging="468"/>
        <w:jc w:val="left"/>
      </w:pPr>
      <w:rPr>
        <w:rFonts w:hint="default"/>
        <w:b/>
        <w:bCs/>
        <w:w w:val="100"/>
        <w:lang w:val="en-GB" w:eastAsia="en-GB" w:bidi="en-GB"/>
      </w:rPr>
    </w:lvl>
    <w:lvl w:ilvl="2">
      <w:start w:val="1"/>
      <w:numFmt w:val="decimal"/>
      <w:lvlText w:val="%1.%2.%3"/>
      <w:lvlJc w:val="left"/>
      <w:pPr>
        <w:ind w:left="613" w:hanging="500"/>
        <w:jc w:val="left"/>
      </w:pPr>
      <w:rPr>
        <w:rFonts w:ascii="Arial" w:eastAsia="Arial" w:hAnsi="Arial" w:cs="Arial" w:hint="default"/>
        <w:b/>
        <w:bCs/>
        <w:spacing w:val="-1"/>
        <w:w w:val="99"/>
        <w:sz w:val="20"/>
        <w:szCs w:val="20"/>
        <w:lang w:val="en-GB" w:eastAsia="en-GB" w:bidi="en-GB"/>
      </w:rPr>
    </w:lvl>
    <w:lvl w:ilvl="3">
      <w:numFmt w:val="bullet"/>
      <w:lvlText w:val="•"/>
      <w:lvlJc w:val="left"/>
      <w:pPr>
        <w:ind w:left="2523" w:hanging="500"/>
      </w:pPr>
      <w:rPr>
        <w:rFonts w:hint="default"/>
        <w:lang w:val="en-GB" w:eastAsia="en-GB" w:bidi="en-GB"/>
      </w:rPr>
    </w:lvl>
    <w:lvl w:ilvl="4">
      <w:numFmt w:val="bullet"/>
      <w:lvlText w:val="•"/>
      <w:lvlJc w:val="left"/>
      <w:pPr>
        <w:ind w:left="3475" w:hanging="500"/>
      </w:pPr>
      <w:rPr>
        <w:rFonts w:hint="default"/>
        <w:lang w:val="en-GB" w:eastAsia="en-GB" w:bidi="en-GB"/>
      </w:rPr>
    </w:lvl>
    <w:lvl w:ilvl="5">
      <w:numFmt w:val="bullet"/>
      <w:lvlText w:val="•"/>
      <w:lvlJc w:val="left"/>
      <w:pPr>
        <w:ind w:left="4427" w:hanging="500"/>
      </w:pPr>
      <w:rPr>
        <w:rFonts w:hint="default"/>
        <w:lang w:val="en-GB" w:eastAsia="en-GB" w:bidi="en-GB"/>
      </w:rPr>
    </w:lvl>
    <w:lvl w:ilvl="6">
      <w:numFmt w:val="bullet"/>
      <w:lvlText w:val="•"/>
      <w:lvlJc w:val="left"/>
      <w:pPr>
        <w:ind w:left="5379" w:hanging="500"/>
      </w:pPr>
      <w:rPr>
        <w:rFonts w:hint="default"/>
        <w:lang w:val="en-GB" w:eastAsia="en-GB" w:bidi="en-GB"/>
      </w:rPr>
    </w:lvl>
    <w:lvl w:ilvl="7">
      <w:numFmt w:val="bullet"/>
      <w:lvlText w:val="•"/>
      <w:lvlJc w:val="left"/>
      <w:pPr>
        <w:ind w:left="6330" w:hanging="500"/>
      </w:pPr>
      <w:rPr>
        <w:rFonts w:hint="default"/>
        <w:lang w:val="en-GB" w:eastAsia="en-GB" w:bidi="en-GB"/>
      </w:rPr>
    </w:lvl>
    <w:lvl w:ilvl="8">
      <w:numFmt w:val="bullet"/>
      <w:lvlText w:val="•"/>
      <w:lvlJc w:val="left"/>
      <w:pPr>
        <w:ind w:left="7282" w:hanging="500"/>
      </w:pPr>
      <w:rPr>
        <w:rFonts w:hint="default"/>
        <w:lang w:val="en-GB" w:eastAsia="en-GB" w:bidi="en-GB"/>
      </w:rPr>
    </w:lvl>
  </w:abstractNum>
  <w:abstractNum w:abstractNumId="8">
    <w:nsid w:val="1D1576FA"/>
    <w:multiLevelType w:val="multilevel"/>
    <w:tmpl w:val="83D6470E"/>
    <w:lvl w:ilvl="0">
      <w:start w:val="11"/>
      <w:numFmt w:val="decimal"/>
      <w:lvlText w:val="%1"/>
      <w:lvlJc w:val="left"/>
      <w:pPr>
        <w:ind w:left="648" w:hanging="535"/>
        <w:jc w:val="left"/>
      </w:pPr>
      <w:rPr>
        <w:rFonts w:hint="default"/>
        <w:lang w:val="en-GB" w:eastAsia="en-GB" w:bidi="en-GB"/>
      </w:rPr>
    </w:lvl>
    <w:lvl w:ilvl="1">
      <w:numFmt w:val="decimal"/>
      <w:lvlText w:val="%1.%2"/>
      <w:lvlJc w:val="left"/>
      <w:pPr>
        <w:ind w:left="648" w:hanging="535"/>
        <w:jc w:val="right"/>
      </w:pPr>
      <w:rPr>
        <w:rFonts w:ascii="Arial" w:eastAsia="Arial" w:hAnsi="Arial" w:cs="Arial" w:hint="default"/>
        <w:b/>
        <w:bCs/>
        <w:w w:val="99"/>
        <w:sz w:val="24"/>
        <w:szCs w:val="24"/>
        <w:lang w:val="en-GB" w:eastAsia="en-GB" w:bidi="en-GB"/>
      </w:rPr>
    </w:lvl>
    <w:lvl w:ilvl="2">
      <w:numFmt w:val="bullet"/>
      <w:lvlText w:val="•"/>
      <w:lvlJc w:val="left"/>
      <w:pPr>
        <w:ind w:left="2349" w:hanging="535"/>
      </w:pPr>
      <w:rPr>
        <w:rFonts w:hint="default"/>
        <w:lang w:val="en-GB" w:eastAsia="en-GB" w:bidi="en-GB"/>
      </w:rPr>
    </w:lvl>
    <w:lvl w:ilvl="3">
      <w:numFmt w:val="bullet"/>
      <w:lvlText w:val="•"/>
      <w:lvlJc w:val="left"/>
      <w:pPr>
        <w:ind w:left="3203" w:hanging="535"/>
      </w:pPr>
      <w:rPr>
        <w:rFonts w:hint="default"/>
        <w:lang w:val="en-GB" w:eastAsia="en-GB" w:bidi="en-GB"/>
      </w:rPr>
    </w:lvl>
    <w:lvl w:ilvl="4">
      <w:numFmt w:val="bullet"/>
      <w:lvlText w:val="•"/>
      <w:lvlJc w:val="left"/>
      <w:pPr>
        <w:ind w:left="4058" w:hanging="535"/>
      </w:pPr>
      <w:rPr>
        <w:rFonts w:hint="default"/>
        <w:lang w:val="en-GB" w:eastAsia="en-GB" w:bidi="en-GB"/>
      </w:rPr>
    </w:lvl>
    <w:lvl w:ilvl="5">
      <w:numFmt w:val="bullet"/>
      <w:lvlText w:val="•"/>
      <w:lvlJc w:val="left"/>
      <w:pPr>
        <w:ind w:left="4913" w:hanging="535"/>
      </w:pPr>
      <w:rPr>
        <w:rFonts w:hint="default"/>
        <w:lang w:val="en-GB" w:eastAsia="en-GB" w:bidi="en-GB"/>
      </w:rPr>
    </w:lvl>
    <w:lvl w:ilvl="6">
      <w:numFmt w:val="bullet"/>
      <w:lvlText w:val="•"/>
      <w:lvlJc w:val="left"/>
      <w:pPr>
        <w:ind w:left="5767" w:hanging="535"/>
      </w:pPr>
      <w:rPr>
        <w:rFonts w:hint="default"/>
        <w:lang w:val="en-GB" w:eastAsia="en-GB" w:bidi="en-GB"/>
      </w:rPr>
    </w:lvl>
    <w:lvl w:ilvl="7">
      <w:numFmt w:val="bullet"/>
      <w:lvlText w:val="•"/>
      <w:lvlJc w:val="left"/>
      <w:pPr>
        <w:ind w:left="6622" w:hanging="535"/>
      </w:pPr>
      <w:rPr>
        <w:rFonts w:hint="default"/>
        <w:lang w:val="en-GB" w:eastAsia="en-GB" w:bidi="en-GB"/>
      </w:rPr>
    </w:lvl>
    <w:lvl w:ilvl="8">
      <w:numFmt w:val="bullet"/>
      <w:lvlText w:val="•"/>
      <w:lvlJc w:val="left"/>
      <w:pPr>
        <w:ind w:left="7477" w:hanging="535"/>
      </w:pPr>
      <w:rPr>
        <w:rFonts w:hint="default"/>
        <w:lang w:val="en-GB" w:eastAsia="en-GB" w:bidi="en-GB"/>
      </w:rPr>
    </w:lvl>
  </w:abstractNum>
  <w:abstractNum w:abstractNumId="9">
    <w:nsid w:val="23D85B10"/>
    <w:multiLevelType w:val="hybridMultilevel"/>
    <w:tmpl w:val="641CECF2"/>
    <w:lvl w:ilvl="0" w:tplc="9FF2A8BA">
      <w:start w:val="1"/>
      <w:numFmt w:val="decimal"/>
      <w:lvlText w:val="%1."/>
      <w:lvlJc w:val="left"/>
      <w:pPr>
        <w:ind w:left="474" w:hanging="360"/>
        <w:jc w:val="left"/>
      </w:pPr>
      <w:rPr>
        <w:rFonts w:ascii="Times New Roman" w:eastAsia="Times New Roman" w:hAnsi="Times New Roman" w:cs="Times New Roman" w:hint="default"/>
        <w:spacing w:val="-5"/>
        <w:w w:val="99"/>
        <w:sz w:val="24"/>
        <w:szCs w:val="24"/>
        <w:lang w:val="en-GB" w:eastAsia="en-GB" w:bidi="en-GB"/>
      </w:rPr>
    </w:lvl>
    <w:lvl w:ilvl="1" w:tplc="510A6888">
      <w:numFmt w:val="bullet"/>
      <w:lvlText w:val="•"/>
      <w:lvlJc w:val="left"/>
      <w:pPr>
        <w:ind w:left="1350" w:hanging="360"/>
      </w:pPr>
      <w:rPr>
        <w:rFonts w:hint="default"/>
        <w:lang w:val="en-GB" w:eastAsia="en-GB" w:bidi="en-GB"/>
      </w:rPr>
    </w:lvl>
    <w:lvl w:ilvl="2" w:tplc="AC1AFEEC">
      <w:numFmt w:val="bullet"/>
      <w:lvlText w:val="•"/>
      <w:lvlJc w:val="left"/>
      <w:pPr>
        <w:ind w:left="2221" w:hanging="360"/>
      </w:pPr>
      <w:rPr>
        <w:rFonts w:hint="default"/>
        <w:lang w:val="en-GB" w:eastAsia="en-GB" w:bidi="en-GB"/>
      </w:rPr>
    </w:lvl>
    <w:lvl w:ilvl="3" w:tplc="606A1C50">
      <w:numFmt w:val="bullet"/>
      <w:lvlText w:val="•"/>
      <w:lvlJc w:val="left"/>
      <w:pPr>
        <w:ind w:left="3091" w:hanging="360"/>
      </w:pPr>
      <w:rPr>
        <w:rFonts w:hint="default"/>
        <w:lang w:val="en-GB" w:eastAsia="en-GB" w:bidi="en-GB"/>
      </w:rPr>
    </w:lvl>
    <w:lvl w:ilvl="4" w:tplc="940CF65E">
      <w:numFmt w:val="bullet"/>
      <w:lvlText w:val="•"/>
      <w:lvlJc w:val="left"/>
      <w:pPr>
        <w:ind w:left="3962" w:hanging="360"/>
      </w:pPr>
      <w:rPr>
        <w:rFonts w:hint="default"/>
        <w:lang w:val="en-GB" w:eastAsia="en-GB" w:bidi="en-GB"/>
      </w:rPr>
    </w:lvl>
    <w:lvl w:ilvl="5" w:tplc="3BD81962">
      <w:numFmt w:val="bullet"/>
      <w:lvlText w:val="•"/>
      <w:lvlJc w:val="left"/>
      <w:pPr>
        <w:ind w:left="4833" w:hanging="360"/>
      </w:pPr>
      <w:rPr>
        <w:rFonts w:hint="default"/>
        <w:lang w:val="en-GB" w:eastAsia="en-GB" w:bidi="en-GB"/>
      </w:rPr>
    </w:lvl>
    <w:lvl w:ilvl="6" w:tplc="3BCA1DDE">
      <w:numFmt w:val="bullet"/>
      <w:lvlText w:val="•"/>
      <w:lvlJc w:val="left"/>
      <w:pPr>
        <w:ind w:left="5703" w:hanging="360"/>
      </w:pPr>
      <w:rPr>
        <w:rFonts w:hint="default"/>
        <w:lang w:val="en-GB" w:eastAsia="en-GB" w:bidi="en-GB"/>
      </w:rPr>
    </w:lvl>
    <w:lvl w:ilvl="7" w:tplc="1BEA387A">
      <w:numFmt w:val="bullet"/>
      <w:lvlText w:val="•"/>
      <w:lvlJc w:val="left"/>
      <w:pPr>
        <w:ind w:left="6574" w:hanging="360"/>
      </w:pPr>
      <w:rPr>
        <w:rFonts w:hint="default"/>
        <w:lang w:val="en-GB" w:eastAsia="en-GB" w:bidi="en-GB"/>
      </w:rPr>
    </w:lvl>
    <w:lvl w:ilvl="8" w:tplc="3356E306">
      <w:numFmt w:val="bullet"/>
      <w:lvlText w:val="•"/>
      <w:lvlJc w:val="left"/>
      <w:pPr>
        <w:ind w:left="7445" w:hanging="360"/>
      </w:pPr>
      <w:rPr>
        <w:rFonts w:hint="default"/>
        <w:lang w:val="en-GB" w:eastAsia="en-GB" w:bidi="en-GB"/>
      </w:rPr>
    </w:lvl>
  </w:abstractNum>
  <w:abstractNum w:abstractNumId="10">
    <w:nsid w:val="24A577F3"/>
    <w:multiLevelType w:val="hybridMultilevel"/>
    <w:tmpl w:val="D7544D6A"/>
    <w:lvl w:ilvl="0" w:tplc="71F2D1F6">
      <w:start w:val="1"/>
      <w:numFmt w:val="decimal"/>
      <w:lvlText w:val="%1."/>
      <w:lvlJc w:val="left"/>
      <w:pPr>
        <w:ind w:left="541" w:hanging="428"/>
        <w:jc w:val="left"/>
      </w:pPr>
      <w:rPr>
        <w:rFonts w:ascii="Times New Roman" w:eastAsia="Times New Roman" w:hAnsi="Times New Roman" w:cs="Times New Roman" w:hint="default"/>
        <w:spacing w:val="-9"/>
        <w:w w:val="99"/>
        <w:sz w:val="24"/>
        <w:szCs w:val="24"/>
        <w:lang w:val="en-GB" w:eastAsia="en-GB" w:bidi="en-GB"/>
      </w:rPr>
    </w:lvl>
    <w:lvl w:ilvl="1" w:tplc="6E10E26A">
      <w:numFmt w:val="bullet"/>
      <w:lvlText w:val="•"/>
      <w:lvlJc w:val="left"/>
      <w:pPr>
        <w:ind w:left="1404" w:hanging="428"/>
      </w:pPr>
      <w:rPr>
        <w:rFonts w:hint="default"/>
        <w:lang w:val="en-GB" w:eastAsia="en-GB" w:bidi="en-GB"/>
      </w:rPr>
    </w:lvl>
    <w:lvl w:ilvl="2" w:tplc="825C9C56">
      <w:numFmt w:val="bullet"/>
      <w:lvlText w:val="•"/>
      <w:lvlJc w:val="left"/>
      <w:pPr>
        <w:ind w:left="2269" w:hanging="428"/>
      </w:pPr>
      <w:rPr>
        <w:rFonts w:hint="default"/>
        <w:lang w:val="en-GB" w:eastAsia="en-GB" w:bidi="en-GB"/>
      </w:rPr>
    </w:lvl>
    <w:lvl w:ilvl="3" w:tplc="F982B074">
      <w:numFmt w:val="bullet"/>
      <w:lvlText w:val="•"/>
      <w:lvlJc w:val="left"/>
      <w:pPr>
        <w:ind w:left="3133" w:hanging="428"/>
      </w:pPr>
      <w:rPr>
        <w:rFonts w:hint="default"/>
        <w:lang w:val="en-GB" w:eastAsia="en-GB" w:bidi="en-GB"/>
      </w:rPr>
    </w:lvl>
    <w:lvl w:ilvl="4" w:tplc="F466763A">
      <w:numFmt w:val="bullet"/>
      <w:lvlText w:val="•"/>
      <w:lvlJc w:val="left"/>
      <w:pPr>
        <w:ind w:left="3998" w:hanging="428"/>
      </w:pPr>
      <w:rPr>
        <w:rFonts w:hint="default"/>
        <w:lang w:val="en-GB" w:eastAsia="en-GB" w:bidi="en-GB"/>
      </w:rPr>
    </w:lvl>
    <w:lvl w:ilvl="5" w:tplc="16DEBD2A">
      <w:numFmt w:val="bullet"/>
      <w:lvlText w:val="•"/>
      <w:lvlJc w:val="left"/>
      <w:pPr>
        <w:ind w:left="4863" w:hanging="428"/>
      </w:pPr>
      <w:rPr>
        <w:rFonts w:hint="default"/>
        <w:lang w:val="en-GB" w:eastAsia="en-GB" w:bidi="en-GB"/>
      </w:rPr>
    </w:lvl>
    <w:lvl w:ilvl="6" w:tplc="7E0AA708">
      <w:numFmt w:val="bullet"/>
      <w:lvlText w:val="•"/>
      <w:lvlJc w:val="left"/>
      <w:pPr>
        <w:ind w:left="5727" w:hanging="428"/>
      </w:pPr>
      <w:rPr>
        <w:rFonts w:hint="default"/>
        <w:lang w:val="en-GB" w:eastAsia="en-GB" w:bidi="en-GB"/>
      </w:rPr>
    </w:lvl>
    <w:lvl w:ilvl="7" w:tplc="60F4D03A">
      <w:numFmt w:val="bullet"/>
      <w:lvlText w:val="•"/>
      <w:lvlJc w:val="left"/>
      <w:pPr>
        <w:ind w:left="6592" w:hanging="428"/>
      </w:pPr>
      <w:rPr>
        <w:rFonts w:hint="default"/>
        <w:lang w:val="en-GB" w:eastAsia="en-GB" w:bidi="en-GB"/>
      </w:rPr>
    </w:lvl>
    <w:lvl w:ilvl="8" w:tplc="F20A2148">
      <w:numFmt w:val="bullet"/>
      <w:lvlText w:val="•"/>
      <w:lvlJc w:val="left"/>
      <w:pPr>
        <w:ind w:left="7457" w:hanging="428"/>
      </w:pPr>
      <w:rPr>
        <w:rFonts w:hint="default"/>
        <w:lang w:val="en-GB" w:eastAsia="en-GB" w:bidi="en-GB"/>
      </w:rPr>
    </w:lvl>
  </w:abstractNum>
  <w:abstractNum w:abstractNumId="11">
    <w:nsid w:val="24EF1273"/>
    <w:multiLevelType w:val="hybridMultilevel"/>
    <w:tmpl w:val="CFD6FC30"/>
    <w:lvl w:ilvl="0" w:tplc="4B8207C4">
      <w:start w:val="1"/>
      <w:numFmt w:val="decimal"/>
      <w:lvlText w:val="%1."/>
      <w:lvlJc w:val="left"/>
      <w:pPr>
        <w:ind w:left="214" w:hanging="720"/>
        <w:jc w:val="left"/>
      </w:pPr>
      <w:rPr>
        <w:rFonts w:ascii="Times New Roman" w:eastAsia="Times New Roman" w:hAnsi="Times New Roman" w:cs="Times New Roman" w:hint="default"/>
        <w:spacing w:val="-4"/>
        <w:w w:val="99"/>
        <w:sz w:val="24"/>
        <w:szCs w:val="24"/>
        <w:lang w:val="en-GB" w:eastAsia="en-GB" w:bidi="en-GB"/>
      </w:rPr>
    </w:lvl>
    <w:lvl w:ilvl="1" w:tplc="33BC44AC">
      <w:start w:val="1"/>
      <w:numFmt w:val="decimal"/>
      <w:lvlText w:val="%2)"/>
      <w:lvlJc w:val="left"/>
      <w:pPr>
        <w:ind w:left="934" w:hanging="360"/>
        <w:jc w:val="left"/>
      </w:pPr>
      <w:rPr>
        <w:rFonts w:ascii="Times New Roman" w:eastAsia="Times New Roman" w:hAnsi="Times New Roman" w:cs="Times New Roman" w:hint="default"/>
        <w:b/>
        <w:bCs/>
        <w:spacing w:val="-20"/>
        <w:w w:val="99"/>
        <w:sz w:val="24"/>
        <w:szCs w:val="24"/>
        <w:lang w:val="en-GB" w:eastAsia="en-GB" w:bidi="en-GB"/>
      </w:rPr>
    </w:lvl>
    <w:lvl w:ilvl="2" w:tplc="E13C614C">
      <w:start w:val="1"/>
      <w:numFmt w:val="lowerRoman"/>
      <w:lvlText w:val="%3)"/>
      <w:lvlJc w:val="left"/>
      <w:pPr>
        <w:ind w:left="1654" w:hanging="720"/>
        <w:jc w:val="left"/>
      </w:pPr>
      <w:rPr>
        <w:rFonts w:ascii="Times New Roman" w:eastAsia="Times New Roman" w:hAnsi="Times New Roman" w:cs="Times New Roman" w:hint="default"/>
        <w:b/>
        <w:bCs/>
        <w:spacing w:val="-4"/>
        <w:w w:val="99"/>
        <w:sz w:val="24"/>
        <w:szCs w:val="24"/>
        <w:lang w:val="en-GB" w:eastAsia="en-GB" w:bidi="en-GB"/>
      </w:rPr>
    </w:lvl>
    <w:lvl w:ilvl="3" w:tplc="0B60E746">
      <w:numFmt w:val="bullet"/>
      <w:lvlText w:val="•"/>
      <w:lvlJc w:val="left"/>
      <w:pPr>
        <w:ind w:left="2633" w:hanging="720"/>
      </w:pPr>
      <w:rPr>
        <w:rFonts w:hint="default"/>
        <w:lang w:val="en-GB" w:eastAsia="en-GB" w:bidi="en-GB"/>
      </w:rPr>
    </w:lvl>
    <w:lvl w:ilvl="4" w:tplc="2FDEE35A">
      <w:numFmt w:val="bullet"/>
      <w:lvlText w:val="•"/>
      <w:lvlJc w:val="left"/>
      <w:pPr>
        <w:ind w:left="3606" w:hanging="720"/>
      </w:pPr>
      <w:rPr>
        <w:rFonts w:hint="default"/>
        <w:lang w:val="en-GB" w:eastAsia="en-GB" w:bidi="en-GB"/>
      </w:rPr>
    </w:lvl>
    <w:lvl w:ilvl="5" w:tplc="AFC81788">
      <w:numFmt w:val="bullet"/>
      <w:lvlText w:val="•"/>
      <w:lvlJc w:val="left"/>
      <w:pPr>
        <w:ind w:left="4579" w:hanging="720"/>
      </w:pPr>
      <w:rPr>
        <w:rFonts w:hint="default"/>
        <w:lang w:val="en-GB" w:eastAsia="en-GB" w:bidi="en-GB"/>
      </w:rPr>
    </w:lvl>
    <w:lvl w:ilvl="6" w:tplc="2B2C9DD6">
      <w:numFmt w:val="bullet"/>
      <w:lvlText w:val="•"/>
      <w:lvlJc w:val="left"/>
      <w:pPr>
        <w:ind w:left="5553" w:hanging="720"/>
      </w:pPr>
      <w:rPr>
        <w:rFonts w:hint="default"/>
        <w:lang w:val="en-GB" w:eastAsia="en-GB" w:bidi="en-GB"/>
      </w:rPr>
    </w:lvl>
    <w:lvl w:ilvl="7" w:tplc="C3B0E55E">
      <w:numFmt w:val="bullet"/>
      <w:lvlText w:val="•"/>
      <w:lvlJc w:val="left"/>
      <w:pPr>
        <w:ind w:left="6526" w:hanging="720"/>
      </w:pPr>
      <w:rPr>
        <w:rFonts w:hint="default"/>
        <w:lang w:val="en-GB" w:eastAsia="en-GB" w:bidi="en-GB"/>
      </w:rPr>
    </w:lvl>
    <w:lvl w:ilvl="8" w:tplc="D57460B6">
      <w:numFmt w:val="bullet"/>
      <w:lvlText w:val="•"/>
      <w:lvlJc w:val="left"/>
      <w:pPr>
        <w:ind w:left="7499" w:hanging="720"/>
      </w:pPr>
      <w:rPr>
        <w:rFonts w:hint="default"/>
        <w:lang w:val="en-GB" w:eastAsia="en-GB" w:bidi="en-GB"/>
      </w:rPr>
    </w:lvl>
  </w:abstractNum>
  <w:abstractNum w:abstractNumId="12">
    <w:nsid w:val="28172E5C"/>
    <w:multiLevelType w:val="multilevel"/>
    <w:tmpl w:val="6E6EF7EE"/>
    <w:lvl w:ilvl="0">
      <w:start w:val="10"/>
      <w:numFmt w:val="decimal"/>
      <w:lvlText w:val="%1"/>
      <w:lvlJc w:val="left"/>
      <w:pPr>
        <w:ind w:left="823" w:hanging="610"/>
        <w:jc w:val="left"/>
      </w:pPr>
      <w:rPr>
        <w:rFonts w:hint="default"/>
        <w:lang w:val="en-GB" w:eastAsia="en-GB" w:bidi="en-GB"/>
      </w:rPr>
    </w:lvl>
    <w:lvl w:ilvl="1">
      <w:start w:val="2"/>
      <w:numFmt w:val="decimal"/>
      <w:lvlText w:val="%1.%2"/>
      <w:lvlJc w:val="left"/>
      <w:pPr>
        <w:ind w:left="823" w:hanging="610"/>
        <w:jc w:val="left"/>
      </w:pPr>
      <w:rPr>
        <w:rFonts w:hint="default"/>
        <w:lang w:val="en-GB" w:eastAsia="en-GB" w:bidi="en-GB"/>
      </w:rPr>
    </w:lvl>
    <w:lvl w:ilvl="2">
      <w:start w:val="1"/>
      <w:numFmt w:val="decimal"/>
      <w:lvlText w:val="%1.%2.%3"/>
      <w:lvlJc w:val="left"/>
      <w:pPr>
        <w:ind w:left="823" w:hanging="610"/>
        <w:jc w:val="left"/>
      </w:pPr>
      <w:rPr>
        <w:rFonts w:ascii="Arial" w:eastAsia="Arial" w:hAnsi="Arial" w:cs="Arial" w:hint="default"/>
        <w:b/>
        <w:bCs/>
        <w:spacing w:val="-1"/>
        <w:w w:val="99"/>
        <w:sz w:val="20"/>
        <w:szCs w:val="20"/>
        <w:lang w:val="en-GB" w:eastAsia="en-GB" w:bidi="en-GB"/>
      </w:rPr>
    </w:lvl>
    <w:lvl w:ilvl="3">
      <w:numFmt w:val="bullet"/>
      <w:lvlText w:val="•"/>
      <w:lvlJc w:val="left"/>
      <w:pPr>
        <w:ind w:left="3407" w:hanging="610"/>
      </w:pPr>
      <w:rPr>
        <w:rFonts w:hint="default"/>
        <w:lang w:val="en-GB" w:eastAsia="en-GB" w:bidi="en-GB"/>
      </w:rPr>
    </w:lvl>
    <w:lvl w:ilvl="4">
      <w:numFmt w:val="bullet"/>
      <w:lvlText w:val="•"/>
      <w:lvlJc w:val="left"/>
      <w:pPr>
        <w:ind w:left="4270" w:hanging="610"/>
      </w:pPr>
      <w:rPr>
        <w:rFonts w:hint="default"/>
        <w:lang w:val="en-GB" w:eastAsia="en-GB" w:bidi="en-GB"/>
      </w:rPr>
    </w:lvl>
    <w:lvl w:ilvl="5">
      <w:numFmt w:val="bullet"/>
      <w:lvlText w:val="•"/>
      <w:lvlJc w:val="left"/>
      <w:pPr>
        <w:ind w:left="5133" w:hanging="610"/>
      </w:pPr>
      <w:rPr>
        <w:rFonts w:hint="default"/>
        <w:lang w:val="en-GB" w:eastAsia="en-GB" w:bidi="en-GB"/>
      </w:rPr>
    </w:lvl>
    <w:lvl w:ilvl="6">
      <w:numFmt w:val="bullet"/>
      <w:lvlText w:val="•"/>
      <w:lvlJc w:val="left"/>
      <w:pPr>
        <w:ind w:left="5995" w:hanging="610"/>
      </w:pPr>
      <w:rPr>
        <w:rFonts w:hint="default"/>
        <w:lang w:val="en-GB" w:eastAsia="en-GB" w:bidi="en-GB"/>
      </w:rPr>
    </w:lvl>
    <w:lvl w:ilvl="7">
      <w:numFmt w:val="bullet"/>
      <w:lvlText w:val="•"/>
      <w:lvlJc w:val="left"/>
      <w:pPr>
        <w:ind w:left="6858" w:hanging="610"/>
      </w:pPr>
      <w:rPr>
        <w:rFonts w:hint="default"/>
        <w:lang w:val="en-GB" w:eastAsia="en-GB" w:bidi="en-GB"/>
      </w:rPr>
    </w:lvl>
    <w:lvl w:ilvl="8">
      <w:numFmt w:val="bullet"/>
      <w:lvlText w:val="•"/>
      <w:lvlJc w:val="left"/>
      <w:pPr>
        <w:ind w:left="7721" w:hanging="610"/>
      </w:pPr>
      <w:rPr>
        <w:rFonts w:hint="default"/>
        <w:lang w:val="en-GB" w:eastAsia="en-GB" w:bidi="en-GB"/>
      </w:rPr>
    </w:lvl>
  </w:abstractNum>
  <w:abstractNum w:abstractNumId="13">
    <w:nsid w:val="2831083D"/>
    <w:multiLevelType w:val="multilevel"/>
    <w:tmpl w:val="2DFC8034"/>
    <w:lvl w:ilvl="0">
      <w:start w:val="22"/>
      <w:numFmt w:val="decimal"/>
      <w:lvlText w:val="%1"/>
      <w:lvlJc w:val="left"/>
      <w:pPr>
        <w:ind w:left="888" w:hanging="535"/>
        <w:jc w:val="left"/>
      </w:pPr>
      <w:rPr>
        <w:rFonts w:hint="default"/>
        <w:lang w:val="en-GB" w:eastAsia="en-GB" w:bidi="en-GB"/>
      </w:rPr>
    </w:lvl>
    <w:lvl w:ilvl="1">
      <w:start w:val="1"/>
      <w:numFmt w:val="decimal"/>
      <w:lvlText w:val="%1.%2"/>
      <w:lvlJc w:val="left"/>
      <w:pPr>
        <w:ind w:left="888" w:hanging="535"/>
        <w:jc w:val="left"/>
      </w:pPr>
      <w:rPr>
        <w:rFonts w:ascii="Arial" w:eastAsia="Arial" w:hAnsi="Arial" w:cs="Arial" w:hint="default"/>
        <w:b/>
        <w:bCs/>
        <w:w w:val="99"/>
        <w:sz w:val="24"/>
        <w:szCs w:val="24"/>
        <w:lang w:val="en-GB" w:eastAsia="en-GB" w:bidi="en-GB"/>
      </w:rPr>
    </w:lvl>
    <w:lvl w:ilvl="2">
      <w:numFmt w:val="bullet"/>
      <w:lvlText w:val="•"/>
      <w:lvlJc w:val="left"/>
      <w:pPr>
        <w:ind w:left="2541" w:hanging="535"/>
      </w:pPr>
      <w:rPr>
        <w:rFonts w:hint="default"/>
        <w:lang w:val="en-GB" w:eastAsia="en-GB" w:bidi="en-GB"/>
      </w:rPr>
    </w:lvl>
    <w:lvl w:ilvl="3">
      <w:numFmt w:val="bullet"/>
      <w:lvlText w:val="•"/>
      <w:lvlJc w:val="left"/>
      <w:pPr>
        <w:ind w:left="3371" w:hanging="535"/>
      </w:pPr>
      <w:rPr>
        <w:rFonts w:hint="default"/>
        <w:lang w:val="en-GB" w:eastAsia="en-GB" w:bidi="en-GB"/>
      </w:rPr>
    </w:lvl>
    <w:lvl w:ilvl="4">
      <w:numFmt w:val="bullet"/>
      <w:lvlText w:val="•"/>
      <w:lvlJc w:val="left"/>
      <w:pPr>
        <w:ind w:left="4202" w:hanging="535"/>
      </w:pPr>
      <w:rPr>
        <w:rFonts w:hint="default"/>
        <w:lang w:val="en-GB" w:eastAsia="en-GB" w:bidi="en-GB"/>
      </w:rPr>
    </w:lvl>
    <w:lvl w:ilvl="5">
      <w:numFmt w:val="bullet"/>
      <w:lvlText w:val="•"/>
      <w:lvlJc w:val="left"/>
      <w:pPr>
        <w:ind w:left="5033" w:hanging="535"/>
      </w:pPr>
      <w:rPr>
        <w:rFonts w:hint="default"/>
        <w:lang w:val="en-GB" w:eastAsia="en-GB" w:bidi="en-GB"/>
      </w:rPr>
    </w:lvl>
    <w:lvl w:ilvl="6">
      <w:numFmt w:val="bullet"/>
      <w:lvlText w:val="•"/>
      <w:lvlJc w:val="left"/>
      <w:pPr>
        <w:ind w:left="5863" w:hanging="535"/>
      </w:pPr>
      <w:rPr>
        <w:rFonts w:hint="default"/>
        <w:lang w:val="en-GB" w:eastAsia="en-GB" w:bidi="en-GB"/>
      </w:rPr>
    </w:lvl>
    <w:lvl w:ilvl="7">
      <w:numFmt w:val="bullet"/>
      <w:lvlText w:val="•"/>
      <w:lvlJc w:val="left"/>
      <w:pPr>
        <w:ind w:left="6694" w:hanging="535"/>
      </w:pPr>
      <w:rPr>
        <w:rFonts w:hint="default"/>
        <w:lang w:val="en-GB" w:eastAsia="en-GB" w:bidi="en-GB"/>
      </w:rPr>
    </w:lvl>
    <w:lvl w:ilvl="8">
      <w:numFmt w:val="bullet"/>
      <w:lvlText w:val="•"/>
      <w:lvlJc w:val="left"/>
      <w:pPr>
        <w:ind w:left="7525" w:hanging="535"/>
      </w:pPr>
      <w:rPr>
        <w:rFonts w:hint="default"/>
        <w:lang w:val="en-GB" w:eastAsia="en-GB" w:bidi="en-GB"/>
      </w:rPr>
    </w:lvl>
  </w:abstractNum>
  <w:abstractNum w:abstractNumId="14">
    <w:nsid w:val="28E47540"/>
    <w:multiLevelType w:val="hybridMultilevel"/>
    <w:tmpl w:val="F48AD408"/>
    <w:lvl w:ilvl="0" w:tplc="BBA63DFC">
      <w:start w:val="1"/>
      <w:numFmt w:val="lowerRoman"/>
      <w:lvlText w:val="%1."/>
      <w:lvlJc w:val="left"/>
      <w:pPr>
        <w:ind w:left="293" w:hanging="180"/>
        <w:jc w:val="right"/>
      </w:pPr>
      <w:rPr>
        <w:rFonts w:hint="default"/>
        <w:w w:val="100"/>
        <w:u w:val="single" w:color="000000"/>
        <w:lang w:val="en-GB" w:eastAsia="en-GB" w:bidi="en-GB"/>
      </w:rPr>
    </w:lvl>
    <w:lvl w:ilvl="1" w:tplc="46CC7104">
      <w:start w:val="1"/>
      <w:numFmt w:val="decimal"/>
      <w:lvlText w:val="%2."/>
      <w:lvlJc w:val="left"/>
      <w:pPr>
        <w:ind w:left="834" w:hanging="360"/>
        <w:jc w:val="left"/>
      </w:pPr>
      <w:rPr>
        <w:rFonts w:ascii="Times New Roman" w:eastAsia="Times New Roman" w:hAnsi="Times New Roman" w:cs="Times New Roman" w:hint="default"/>
        <w:spacing w:val="-14"/>
        <w:w w:val="99"/>
        <w:sz w:val="24"/>
        <w:szCs w:val="24"/>
        <w:lang w:val="en-GB" w:eastAsia="en-GB" w:bidi="en-GB"/>
      </w:rPr>
    </w:lvl>
    <w:lvl w:ilvl="2" w:tplc="1E809286">
      <w:numFmt w:val="bullet"/>
      <w:lvlText w:val="•"/>
      <w:lvlJc w:val="left"/>
      <w:pPr>
        <w:ind w:left="1767" w:hanging="360"/>
      </w:pPr>
      <w:rPr>
        <w:rFonts w:hint="default"/>
        <w:lang w:val="en-GB" w:eastAsia="en-GB" w:bidi="en-GB"/>
      </w:rPr>
    </w:lvl>
    <w:lvl w:ilvl="3" w:tplc="BDC233D0">
      <w:numFmt w:val="bullet"/>
      <w:lvlText w:val="•"/>
      <w:lvlJc w:val="left"/>
      <w:pPr>
        <w:ind w:left="2694" w:hanging="360"/>
      </w:pPr>
      <w:rPr>
        <w:rFonts w:hint="default"/>
        <w:lang w:val="en-GB" w:eastAsia="en-GB" w:bidi="en-GB"/>
      </w:rPr>
    </w:lvl>
    <w:lvl w:ilvl="4" w:tplc="42B69A92">
      <w:numFmt w:val="bullet"/>
      <w:lvlText w:val="•"/>
      <w:lvlJc w:val="left"/>
      <w:pPr>
        <w:ind w:left="3622" w:hanging="360"/>
      </w:pPr>
      <w:rPr>
        <w:rFonts w:hint="default"/>
        <w:lang w:val="en-GB" w:eastAsia="en-GB" w:bidi="en-GB"/>
      </w:rPr>
    </w:lvl>
    <w:lvl w:ilvl="5" w:tplc="53CAC904">
      <w:numFmt w:val="bullet"/>
      <w:lvlText w:val="•"/>
      <w:lvlJc w:val="left"/>
      <w:pPr>
        <w:ind w:left="4549" w:hanging="360"/>
      </w:pPr>
      <w:rPr>
        <w:rFonts w:hint="default"/>
        <w:lang w:val="en-GB" w:eastAsia="en-GB" w:bidi="en-GB"/>
      </w:rPr>
    </w:lvl>
    <w:lvl w:ilvl="6" w:tplc="50203FB0">
      <w:numFmt w:val="bullet"/>
      <w:lvlText w:val="•"/>
      <w:lvlJc w:val="left"/>
      <w:pPr>
        <w:ind w:left="5476" w:hanging="360"/>
      </w:pPr>
      <w:rPr>
        <w:rFonts w:hint="default"/>
        <w:lang w:val="en-GB" w:eastAsia="en-GB" w:bidi="en-GB"/>
      </w:rPr>
    </w:lvl>
    <w:lvl w:ilvl="7" w:tplc="C698352E">
      <w:numFmt w:val="bullet"/>
      <w:lvlText w:val="•"/>
      <w:lvlJc w:val="left"/>
      <w:pPr>
        <w:ind w:left="6404" w:hanging="360"/>
      </w:pPr>
      <w:rPr>
        <w:rFonts w:hint="default"/>
        <w:lang w:val="en-GB" w:eastAsia="en-GB" w:bidi="en-GB"/>
      </w:rPr>
    </w:lvl>
    <w:lvl w:ilvl="8" w:tplc="6EAC193E">
      <w:numFmt w:val="bullet"/>
      <w:lvlText w:val="•"/>
      <w:lvlJc w:val="left"/>
      <w:pPr>
        <w:ind w:left="7331" w:hanging="360"/>
      </w:pPr>
      <w:rPr>
        <w:rFonts w:hint="default"/>
        <w:lang w:val="en-GB" w:eastAsia="en-GB" w:bidi="en-GB"/>
      </w:rPr>
    </w:lvl>
  </w:abstractNum>
  <w:abstractNum w:abstractNumId="15">
    <w:nsid w:val="2C5E5E7B"/>
    <w:multiLevelType w:val="multilevel"/>
    <w:tmpl w:val="DFAAFC12"/>
    <w:lvl w:ilvl="0">
      <w:start w:val="6"/>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start w:val="1"/>
      <w:numFmt w:val="decimal"/>
      <w:lvlText w:val="%1.%2.%3"/>
      <w:lvlJc w:val="left"/>
      <w:pPr>
        <w:ind w:left="1134" w:hanging="540"/>
        <w:jc w:val="left"/>
      </w:pPr>
      <w:rPr>
        <w:rFonts w:ascii="Times New Roman" w:eastAsia="Times New Roman" w:hAnsi="Times New Roman" w:cs="Times New Roman" w:hint="default"/>
        <w:spacing w:val="-2"/>
        <w:w w:val="100"/>
        <w:sz w:val="24"/>
        <w:szCs w:val="24"/>
        <w:lang w:val="en-GB" w:eastAsia="en-GB" w:bidi="en-GB"/>
      </w:rPr>
    </w:lvl>
    <w:lvl w:ilvl="3">
      <w:numFmt w:val="bullet"/>
      <w:lvlText w:val="•"/>
      <w:lvlJc w:val="left"/>
      <w:pPr>
        <w:ind w:left="2928" w:hanging="540"/>
      </w:pPr>
      <w:rPr>
        <w:rFonts w:hint="default"/>
        <w:lang w:val="en-GB" w:eastAsia="en-GB" w:bidi="en-GB"/>
      </w:rPr>
    </w:lvl>
    <w:lvl w:ilvl="4">
      <w:numFmt w:val="bullet"/>
      <w:lvlText w:val="•"/>
      <w:lvlJc w:val="left"/>
      <w:pPr>
        <w:ind w:left="3822" w:hanging="540"/>
      </w:pPr>
      <w:rPr>
        <w:rFonts w:hint="default"/>
        <w:lang w:val="en-GB" w:eastAsia="en-GB" w:bidi="en-GB"/>
      </w:rPr>
    </w:lvl>
    <w:lvl w:ilvl="5">
      <w:numFmt w:val="bullet"/>
      <w:lvlText w:val="•"/>
      <w:lvlJc w:val="left"/>
      <w:pPr>
        <w:ind w:left="4716" w:hanging="540"/>
      </w:pPr>
      <w:rPr>
        <w:rFonts w:hint="default"/>
        <w:lang w:val="en-GB" w:eastAsia="en-GB" w:bidi="en-GB"/>
      </w:rPr>
    </w:lvl>
    <w:lvl w:ilvl="6">
      <w:numFmt w:val="bullet"/>
      <w:lvlText w:val="•"/>
      <w:lvlJc w:val="left"/>
      <w:pPr>
        <w:ind w:left="5610" w:hanging="540"/>
      </w:pPr>
      <w:rPr>
        <w:rFonts w:hint="default"/>
        <w:lang w:val="en-GB" w:eastAsia="en-GB" w:bidi="en-GB"/>
      </w:rPr>
    </w:lvl>
    <w:lvl w:ilvl="7">
      <w:numFmt w:val="bullet"/>
      <w:lvlText w:val="•"/>
      <w:lvlJc w:val="left"/>
      <w:pPr>
        <w:ind w:left="6504" w:hanging="540"/>
      </w:pPr>
      <w:rPr>
        <w:rFonts w:hint="default"/>
        <w:lang w:val="en-GB" w:eastAsia="en-GB" w:bidi="en-GB"/>
      </w:rPr>
    </w:lvl>
    <w:lvl w:ilvl="8">
      <w:numFmt w:val="bullet"/>
      <w:lvlText w:val="•"/>
      <w:lvlJc w:val="left"/>
      <w:pPr>
        <w:ind w:left="7398" w:hanging="540"/>
      </w:pPr>
      <w:rPr>
        <w:rFonts w:hint="default"/>
        <w:lang w:val="en-GB" w:eastAsia="en-GB" w:bidi="en-GB"/>
      </w:rPr>
    </w:lvl>
  </w:abstractNum>
  <w:abstractNum w:abstractNumId="16">
    <w:nsid w:val="2DF00C7B"/>
    <w:multiLevelType w:val="multilevel"/>
    <w:tmpl w:val="F95280FE"/>
    <w:lvl w:ilvl="0">
      <w:start w:val="7"/>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numFmt w:val="bullet"/>
      <w:lvlText w:val="•"/>
      <w:lvlJc w:val="left"/>
      <w:pPr>
        <w:ind w:left="2253" w:hanging="403"/>
      </w:pPr>
      <w:rPr>
        <w:rFonts w:hint="default"/>
        <w:lang w:val="en-GB" w:eastAsia="en-GB" w:bidi="en-GB"/>
      </w:rPr>
    </w:lvl>
    <w:lvl w:ilvl="3">
      <w:numFmt w:val="bullet"/>
      <w:lvlText w:val="•"/>
      <w:lvlJc w:val="left"/>
      <w:pPr>
        <w:ind w:left="3119" w:hanging="403"/>
      </w:pPr>
      <w:rPr>
        <w:rFonts w:hint="default"/>
        <w:lang w:val="en-GB" w:eastAsia="en-GB" w:bidi="en-GB"/>
      </w:rPr>
    </w:lvl>
    <w:lvl w:ilvl="4">
      <w:numFmt w:val="bullet"/>
      <w:lvlText w:val="•"/>
      <w:lvlJc w:val="left"/>
      <w:pPr>
        <w:ind w:left="3986" w:hanging="403"/>
      </w:pPr>
      <w:rPr>
        <w:rFonts w:hint="default"/>
        <w:lang w:val="en-GB" w:eastAsia="en-GB" w:bidi="en-GB"/>
      </w:rPr>
    </w:lvl>
    <w:lvl w:ilvl="5">
      <w:numFmt w:val="bullet"/>
      <w:lvlText w:val="•"/>
      <w:lvlJc w:val="left"/>
      <w:pPr>
        <w:ind w:left="4853" w:hanging="403"/>
      </w:pPr>
      <w:rPr>
        <w:rFonts w:hint="default"/>
        <w:lang w:val="en-GB" w:eastAsia="en-GB" w:bidi="en-GB"/>
      </w:rPr>
    </w:lvl>
    <w:lvl w:ilvl="6">
      <w:numFmt w:val="bullet"/>
      <w:lvlText w:val="•"/>
      <w:lvlJc w:val="left"/>
      <w:pPr>
        <w:ind w:left="5719" w:hanging="403"/>
      </w:pPr>
      <w:rPr>
        <w:rFonts w:hint="default"/>
        <w:lang w:val="en-GB" w:eastAsia="en-GB" w:bidi="en-GB"/>
      </w:rPr>
    </w:lvl>
    <w:lvl w:ilvl="7">
      <w:numFmt w:val="bullet"/>
      <w:lvlText w:val="•"/>
      <w:lvlJc w:val="left"/>
      <w:pPr>
        <w:ind w:left="6586" w:hanging="403"/>
      </w:pPr>
      <w:rPr>
        <w:rFonts w:hint="default"/>
        <w:lang w:val="en-GB" w:eastAsia="en-GB" w:bidi="en-GB"/>
      </w:rPr>
    </w:lvl>
    <w:lvl w:ilvl="8">
      <w:numFmt w:val="bullet"/>
      <w:lvlText w:val="•"/>
      <w:lvlJc w:val="left"/>
      <w:pPr>
        <w:ind w:left="7453" w:hanging="403"/>
      </w:pPr>
      <w:rPr>
        <w:rFonts w:hint="default"/>
        <w:lang w:val="en-GB" w:eastAsia="en-GB" w:bidi="en-GB"/>
      </w:rPr>
    </w:lvl>
  </w:abstractNum>
  <w:abstractNum w:abstractNumId="17">
    <w:nsid w:val="2E006F30"/>
    <w:multiLevelType w:val="multilevel"/>
    <w:tmpl w:val="0A1E6F2E"/>
    <w:lvl w:ilvl="0">
      <w:start w:val="12"/>
      <w:numFmt w:val="decimal"/>
      <w:lvlText w:val="%1"/>
      <w:lvlJc w:val="left"/>
      <w:pPr>
        <w:ind w:left="842" w:hanging="629"/>
        <w:jc w:val="left"/>
      </w:pPr>
      <w:rPr>
        <w:rFonts w:hint="default"/>
        <w:lang w:val="en-GB" w:eastAsia="en-GB" w:bidi="en-GB"/>
      </w:rPr>
    </w:lvl>
    <w:lvl w:ilvl="1">
      <w:numFmt w:val="decimal"/>
      <w:lvlText w:val="%1.%2"/>
      <w:lvlJc w:val="left"/>
      <w:pPr>
        <w:ind w:left="842" w:hanging="629"/>
        <w:jc w:val="left"/>
      </w:pPr>
      <w:rPr>
        <w:rFonts w:hint="default"/>
        <w:b/>
        <w:bCs/>
        <w:spacing w:val="-1"/>
        <w:w w:val="100"/>
        <w:lang w:val="en-GB" w:eastAsia="en-GB" w:bidi="en-GB"/>
      </w:rPr>
    </w:lvl>
    <w:lvl w:ilvl="2">
      <w:numFmt w:val="bullet"/>
      <w:lvlText w:val="•"/>
      <w:lvlJc w:val="left"/>
      <w:pPr>
        <w:ind w:left="2561" w:hanging="629"/>
      </w:pPr>
      <w:rPr>
        <w:rFonts w:hint="default"/>
        <w:lang w:val="en-GB" w:eastAsia="en-GB" w:bidi="en-GB"/>
      </w:rPr>
    </w:lvl>
    <w:lvl w:ilvl="3">
      <w:numFmt w:val="bullet"/>
      <w:lvlText w:val="•"/>
      <w:lvlJc w:val="left"/>
      <w:pPr>
        <w:ind w:left="3421" w:hanging="629"/>
      </w:pPr>
      <w:rPr>
        <w:rFonts w:hint="default"/>
        <w:lang w:val="en-GB" w:eastAsia="en-GB" w:bidi="en-GB"/>
      </w:rPr>
    </w:lvl>
    <w:lvl w:ilvl="4">
      <w:numFmt w:val="bullet"/>
      <w:lvlText w:val="•"/>
      <w:lvlJc w:val="left"/>
      <w:pPr>
        <w:ind w:left="4282" w:hanging="629"/>
      </w:pPr>
      <w:rPr>
        <w:rFonts w:hint="default"/>
        <w:lang w:val="en-GB" w:eastAsia="en-GB" w:bidi="en-GB"/>
      </w:rPr>
    </w:lvl>
    <w:lvl w:ilvl="5">
      <w:numFmt w:val="bullet"/>
      <w:lvlText w:val="•"/>
      <w:lvlJc w:val="left"/>
      <w:pPr>
        <w:ind w:left="5143" w:hanging="629"/>
      </w:pPr>
      <w:rPr>
        <w:rFonts w:hint="default"/>
        <w:lang w:val="en-GB" w:eastAsia="en-GB" w:bidi="en-GB"/>
      </w:rPr>
    </w:lvl>
    <w:lvl w:ilvl="6">
      <w:numFmt w:val="bullet"/>
      <w:lvlText w:val="•"/>
      <w:lvlJc w:val="left"/>
      <w:pPr>
        <w:ind w:left="6003" w:hanging="629"/>
      </w:pPr>
      <w:rPr>
        <w:rFonts w:hint="default"/>
        <w:lang w:val="en-GB" w:eastAsia="en-GB" w:bidi="en-GB"/>
      </w:rPr>
    </w:lvl>
    <w:lvl w:ilvl="7">
      <w:numFmt w:val="bullet"/>
      <w:lvlText w:val="•"/>
      <w:lvlJc w:val="left"/>
      <w:pPr>
        <w:ind w:left="6864" w:hanging="629"/>
      </w:pPr>
      <w:rPr>
        <w:rFonts w:hint="default"/>
        <w:lang w:val="en-GB" w:eastAsia="en-GB" w:bidi="en-GB"/>
      </w:rPr>
    </w:lvl>
    <w:lvl w:ilvl="8">
      <w:numFmt w:val="bullet"/>
      <w:lvlText w:val="•"/>
      <w:lvlJc w:val="left"/>
      <w:pPr>
        <w:ind w:left="7725" w:hanging="629"/>
      </w:pPr>
      <w:rPr>
        <w:rFonts w:hint="default"/>
        <w:lang w:val="en-GB" w:eastAsia="en-GB" w:bidi="en-GB"/>
      </w:rPr>
    </w:lvl>
  </w:abstractNum>
  <w:abstractNum w:abstractNumId="18">
    <w:nsid w:val="31E83D99"/>
    <w:multiLevelType w:val="multilevel"/>
    <w:tmpl w:val="B7B8C032"/>
    <w:lvl w:ilvl="0">
      <w:start w:val="1"/>
      <w:numFmt w:val="decimal"/>
      <w:lvlText w:val="%1"/>
      <w:lvlJc w:val="left"/>
      <w:pPr>
        <w:ind w:left="581" w:hanging="468"/>
        <w:jc w:val="left"/>
      </w:pPr>
      <w:rPr>
        <w:rFonts w:hint="default"/>
        <w:lang w:val="en-GB" w:eastAsia="en-GB" w:bidi="en-GB"/>
      </w:rPr>
    </w:lvl>
    <w:lvl w:ilvl="1">
      <w:numFmt w:val="decimal"/>
      <w:lvlText w:val="%1.%2"/>
      <w:lvlJc w:val="left"/>
      <w:pPr>
        <w:ind w:left="581" w:hanging="468"/>
        <w:jc w:val="left"/>
      </w:pPr>
      <w:rPr>
        <w:rFonts w:hint="default"/>
        <w:b/>
        <w:bCs/>
        <w:w w:val="100"/>
        <w:lang w:val="en-GB" w:eastAsia="en-GB" w:bidi="en-GB"/>
      </w:rPr>
    </w:lvl>
    <w:lvl w:ilvl="2">
      <w:numFmt w:val="bullet"/>
      <w:lvlText w:val="•"/>
      <w:lvlJc w:val="left"/>
      <w:pPr>
        <w:ind w:left="2301" w:hanging="468"/>
      </w:pPr>
      <w:rPr>
        <w:rFonts w:hint="default"/>
        <w:lang w:val="en-GB" w:eastAsia="en-GB" w:bidi="en-GB"/>
      </w:rPr>
    </w:lvl>
    <w:lvl w:ilvl="3">
      <w:numFmt w:val="bullet"/>
      <w:lvlText w:val="•"/>
      <w:lvlJc w:val="left"/>
      <w:pPr>
        <w:ind w:left="3161" w:hanging="468"/>
      </w:pPr>
      <w:rPr>
        <w:rFonts w:hint="default"/>
        <w:lang w:val="en-GB" w:eastAsia="en-GB" w:bidi="en-GB"/>
      </w:rPr>
    </w:lvl>
    <w:lvl w:ilvl="4">
      <w:numFmt w:val="bullet"/>
      <w:lvlText w:val="•"/>
      <w:lvlJc w:val="left"/>
      <w:pPr>
        <w:ind w:left="4022" w:hanging="468"/>
      </w:pPr>
      <w:rPr>
        <w:rFonts w:hint="default"/>
        <w:lang w:val="en-GB" w:eastAsia="en-GB" w:bidi="en-GB"/>
      </w:rPr>
    </w:lvl>
    <w:lvl w:ilvl="5">
      <w:numFmt w:val="bullet"/>
      <w:lvlText w:val="•"/>
      <w:lvlJc w:val="left"/>
      <w:pPr>
        <w:ind w:left="4883" w:hanging="468"/>
      </w:pPr>
      <w:rPr>
        <w:rFonts w:hint="default"/>
        <w:lang w:val="en-GB" w:eastAsia="en-GB" w:bidi="en-GB"/>
      </w:rPr>
    </w:lvl>
    <w:lvl w:ilvl="6">
      <w:numFmt w:val="bullet"/>
      <w:lvlText w:val="•"/>
      <w:lvlJc w:val="left"/>
      <w:pPr>
        <w:ind w:left="5743" w:hanging="468"/>
      </w:pPr>
      <w:rPr>
        <w:rFonts w:hint="default"/>
        <w:lang w:val="en-GB" w:eastAsia="en-GB" w:bidi="en-GB"/>
      </w:rPr>
    </w:lvl>
    <w:lvl w:ilvl="7">
      <w:numFmt w:val="bullet"/>
      <w:lvlText w:val="•"/>
      <w:lvlJc w:val="left"/>
      <w:pPr>
        <w:ind w:left="6604" w:hanging="468"/>
      </w:pPr>
      <w:rPr>
        <w:rFonts w:hint="default"/>
        <w:lang w:val="en-GB" w:eastAsia="en-GB" w:bidi="en-GB"/>
      </w:rPr>
    </w:lvl>
    <w:lvl w:ilvl="8">
      <w:numFmt w:val="bullet"/>
      <w:lvlText w:val="•"/>
      <w:lvlJc w:val="left"/>
      <w:pPr>
        <w:ind w:left="7465" w:hanging="468"/>
      </w:pPr>
      <w:rPr>
        <w:rFonts w:hint="default"/>
        <w:lang w:val="en-GB" w:eastAsia="en-GB" w:bidi="en-GB"/>
      </w:rPr>
    </w:lvl>
  </w:abstractNum>
  <w:abstractNum w:abstractNumId="19">
    <w:nsid w:val="34CD6DAA"/>
    <w:multiLevelType w:val="multilevel"/>
    <w:tmpl w:val="F2FEC2B4"/>
    <w:lvl w:ilvl="0">
      <w:start w:val="2"/>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numFmt w:val="bullet"/>
      <w:lvlText w:val="•"/>
      <w:lvlJc w:val="left"/>
      <w:pPr>
        <w:ind w:left="2253" w:hanging="403"/>
      </w:pPr>
      <w:rPr>
        <w:rFonts w:hint="default"/>
        <w:lang w:val="en-GB" w:eastAsia="en-GB" w:bidi="en-GB"/>
      </w:rPr>
    </w:lvl>
    <w:lvl w:ilvl="3">
      <w:numFmt w:val="bullet"/>
      <w:lvlText w:val="•"/>
      <w:lvlJc w:val="left"/>
      <w:pPr>
        <w:ind w:left="3119" w:hanging="403"/>
      </w:pPr>
      <w:rPr>
        <w:rFonts w:hint="default"/>
        <w:lang w:val="en-GB" w:eastAsia="en-GB" w:bidi="en-GB"/>
      </w:rPr>
    </w:lvl>
    <w:lvl w:ilvl="4">
      <w:numFmt w:val="bullet"/>
      <w:lvlText w:val="•"/>
      <w:lvlJc w:val="left"/>
      <w:pPr>
        <w:ind w:left="3986" w:hanging="403"/>
      </w:pPr>
      <w:rPr>
        <w:rFonts w:hint="default"/>
        <w:lang w:val="en-GB" w:eastAsia="en-GB" w:bidi="en-GB"/>
      </w:rPr>
    </w:lvl>
    <w:lvl w:ilvl="5">
      <w:numFmt w:val="bullet"/>
      <w:lvlText w:val="•"/>
      <w:lvlJc w:val="left"/>
      <w:pPr>
        <w:ind w:left="4853" w:hanging="403"/>
      </w:pPr>
      <w:rPr>
        <w:rFonts w:hint="default"/>
        <w:lang w:val="en-GB" w:eastAsia="en-GB" w:bidi="en-GB"/>
      </w:rPr>
    </w:lvl>
    <w:lvl w:ilvl="6">
      <w:numFmt w:val="bullet"/>
      <w:lvlText w:val="•"/>
      <w:lvlJc w:val="left"/>
      <w:pPr>
        <w:ind w:left="5719" w:hanging="403"/>
      </w:pPr>
      <w:rPr>
        <w:rFonts w:hint="default"/>
        <w:lang w:val="en-GB" w:eastAsia="en-GB" w:bidi="en-GB"/>
      </w:rPr>
    </w:lvl>
    <w:lvl w:ilvl="7">
      <w:numFmt w:val="bullet"/>
      <w:lvlText w:val="•"/>
      <w:lvlJc w:val="left"/>
      <w:pPr>
        <w:ind w:left="6586" w:hanging="403"/>
      </w:pPr>
      <w:rPr>
        <w:rFonts w:hint="default"/>
        <w:lang w:val="en-GB" w:eastAsia="en-GB" w:bidi="en-GB"/>
      </w:rPr>
    </w:lvl>
    <w:lvl w:ilvl="8">
      <w:numFmt w:val="bullet"/>
      <w:lvlText w:val="•"/>
      <w:lvlJc w:val="left"/>
      <w:pPr>
        <w:ind w:left="7453" w:hanging="403"/>
      </w:pPr>
      <w:rPr>
        <w:rFonts w:hint="default"/>
        <w:lang w:val="en-GB" w:eastAsia="en-GB" w:bidi="en-GB"/>
      </w:rPr>
    </w:lvl>
  </w:abstractNum>
  <w:abstractNum w:abstractNumId="20">
    <w:nsid w:val="36522951"/>
    <w:multiLevelType w:val="multilevel"/>
    <w:tmpl w:val="18D033DA"/>
    <w:lvl w:ilvl="0">
      <w:start w:val="3"/>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start w:val="1"/>
      <w:numFmt w:val="decimal"/>
      <w:lvlText w:val="%1.%2.%3"/>
      <w:lvlJc w:val="left"/>
      <w:pPr>
        <w:ind w:left="1136" w:hanging="543"/>
        <w:jc w:val="left"/>
      </w:pPr>
      <w:rPr>
        <w:rFonts w:ascii="Times New Roman" w:eastAsia="Times New Roman" w:hAnsi="Times New Roman" w:cs="Times New Roman" w:hint="default"/>
        <w:w w:val="100"/>
        <w:sz w:val="24"/>
        <w:szCs w:val="24"/>
        <w:lang w:val="en-GB" w:eastAsia="en-GB" w:bidi="en-GB"/>
      </w:rPr>
    </w:lvl>
    <w:lvl w:ilvl="3">
      <w:numFmt w:val="bullet"/>
      <w:lvlText w:val="•"/>
      <w:lvlJc w:val="left"/>
      <w:pPr>
        <w:ind w:left="2928" w:hanging="543"/>
      </w:pPr>
      <w:rPr>
        <w:rFonts w:hint="default"/>
        <w:lang w:val="en-GB" w:eastAsia="en-GB" w:bidi="en-GB"/>
      </w:rPr>
    </w:lvl>
    <w:lvl w:ilvl="4">
      <w:numFmt w:val="bullet"/>
      <w:lvlText w:val="•"/>
      <w:lvlJc w:val="left"/>
      <w:pPr>
        <w:ind w:left="3822" w:hanging="543"/>
      </w:pPr>
      <w:rPr>
        <w:rFonts w:hint="default"/>
        <w:lang w:val="en-GB" w:eastAsia="en-GB" w:bidi="en-GB"/>
      </w:rPr>
    </w:lvl>
    <w:lvl w:ilvl="5">
      <w:numFmt w:val="bullet"/>
      <w:lvlText w:val="•"/>
      <w:lvlJc w:val="left"/>
      <w:pPr>
        <w:ind w:left="4716" w:hanging="543"/>
      </w:pPr>
      <w:rPr>
        <w:rFonts w:hint="default"/>
        <w:lang w:val="en-GB" w:eastAsia="en-GB" w:bidi="en-GB"/>
      </w:rPr>
    </w:lvl>
    <w:lvl w:ilvl="6">
      <w:numFmt w:val="bullet"/>
      <w:lvlText w:val="•"/>
      <w:lvlJc w:val="left"/>
      <w:pPr>
        <w:ind w:left="5610" w:hanging="543"/>
      </w:pPr>
      <w:rPr>
        <w:rFonts w:hint="default"/>
        <w:lang w:val="en-GB" w:eastAsia="en-GB" w:bidi="en-GB"/>
      </w:rPr>
    </w:lvl>
    <w:lvl w:ilvl="7">
      <w:numFmt w:val="bullet"/>
      <w:lvlText w:val="•"/>
      <w:lvlJc w:val="left"/>
      <w:pPr>
        <w:ind w:left="6504" w:hanging="543"/>
      </w:pPr>
      <w:rPr>
        <w:rFonts w:hint="default"/>
        <w:lang w:val="en-GB" w:eastAsia="en-GB" w:bidi="en-GB"/>
      </w:rPr>
    </w:lvl>
    <w:lvl w:ilvl="8">
      <w:numFmt w:val="bullet"/>
      <w:lvlText w:val="•"/>
      <w:lvlJc w:val="left"/>
      <w:pPr>
        <w:ind w:left="7398" w:hanging="543"/>
      </w:pPr>
      <w:rPr>
        <w:rFonts w:hint="default"/>
        <w:lang w:val="en-GB" w:eastAsia="en-GB" w:bidi="en-GB"/>
      </w:rPr>
    </w:lvl>
  </w:abstractNum>
  <w:abstractNum w:abstractNumId="21">
    <w:nsid w:val="38FD78D9"/>
    <w:multiLevelType w:val="multilevel"/>
    <w:tmpl w:val="93C0AD92"/>
    <w:lvl w:ilvl="0">
      <w:start w:val="14"/>
      <w:numFmt w:val="decimal"/>
      <w:lvlText w:val="%1"/>
      <w:lvlJc w:val="left"/>
      <w:pPr>
        <w:ind w:left="648" w:hanging="535"/>
        <w:jc w:val="left"/>
      </w:pPr>
      <w:rPr>
        <w:rFonts w:hint="default"/>
        <w:lang w:val="en-GB" w:eastAsia="en-GB" w:bidi="en-GB"/>
      </w:rPr>
    </w:lvl>
    <w:lvl w:ilvl="1">
      <w:numFmt w:val="decimal"/>
      <w:lvlText w:val="%1.%2"/>
      <w:lvlJc w:val="left"/>
      <w:pPr>
        <w:ind w:left="648" w:hanging="535"/>
        <w:jc w:val="right"/>
      </w:pPr>
      <w:rPr>
        <w:rFonts w:ascii="Arial" w:eastAsia="Arial" w:hAnsi="Arial" w:cs="Arial" w:hint="default"/>
        <w:b/>
        <w:bCs/>
        <w:w w:val="99"/>
        <w:sz w:val="24"/>
        <w:szCs w:val="24"/>
        <w:lang w:val="en-GB" w:eastAsia="en-GB" w:bidi="en-GB"/>
      </w:rPr>
    </w:lvl>
    <w:lvl w:ilvl="2">
      <w:numFmt w:val="bullet"/>
      <w:lvlText w:val="•"/>
      <w:lvlJc w:val="left"/>
      <w:pPr>
        <w:ind w:left="2349" w:hanging="535"/>
      </w:pPr>
      <w:rPr>
        <w:rFonts w:hint="default"/>
        <w:lang w:val="en-GB" w:eastAsia="en-GB" w:bidi="en-GB"/>
      </w:rPr>
    </w:lvl>
    <w:lvl w:ilvl="3">
      <w:numFmt w:val="bullet"/>
      <w:lvlText w:val="•"/>
      <w:lvlJc w:val="left"/>
      <w:pPr>
        <w:ind w:left="3203" w:hanging="535"/>
      </w:pPr>
      <w:rPr>
        <w:rFonts w:hint="default"/>
        <w:lang w:val="en-GB" w:eastAsia="en-GB" w:bidi="en-GB"/>
      </w:rPr>
    </w:lvl>
    <w:lvl w:ilvl="4">
      <w:numFmt w:val="bullet"/>
      <w:lvlText w:val="•"/>
      <w:lvlJc w:val="left"/>
      <w:pPr>
        <w:ind w:left="4058" w:hanging="535"/>
      </w:pPr>
      <w:rPr>
        <w:rFonts w:hint="default"/>
        <w:lang w:val="en-GB" w:eastAsia="en-GB" w:bidi="en-GB"/>
      </w:rPr>
    </w:lvl>
    <w:lvl w:ilvl="5">
      <w:numFmt w:val="bullet"/>
      <w:lvlText w:val="•"/>
      <w:lvlJc w:val="left"/>
      <w:pPr>
        <w:ind w:left="4913" w:hanging="535"/>
      </w:pPr>
      <w:rPr>
        <w:rFonts w:hint="default"/>
        <w:lang w:val="en-GB" w:eastAsia="en-GB" w:bidi="en-GB"/>
      </w:rPr>
    </w:lvl>
    <w:lvl w:ilvl="6">
      <w:numFmt w:val="bullet"/>
      <w:lvlText w:val="•"/>
      <w:lvlJc w:val="left"/>
      <w:pPr>
        <w:ind w:left="5767" w:hanging="535"/>
      </w:pPr>
      <w:rPr>
        <w:rFonts w:hint="default"/>
        <w:lang w:val="en-GB" w:eastAsia="en-GB" w:bidi="en-GB"/>
      </w:rPr>
    </w:lvl>
    <w:lvl w:ilvl="7">
      <w:numFmt w:val="bullet"/>
      <w:lvlText w:val="•"/>
      <w:lvlJc w:val="left"/>
      <w:pPr>
        <w:ind w:left="6622" w:hanging="535"/>
      </w:pPr>
      <w:rPr>
        <w:rFonts w:hint="default"/>
        <w:lang w:val="en-GB" w:eastAsia="en-GB" w:bidi="en-GB"/>
      </w:rPr>
    </w:lvl>
    <w:lvl w:ilvl="8">
      <w:numFmt w:val="bullet"/>
      <w:lvlText w:val="•"/>
      <w:lvlJc w:val="left"/>
      <w:pPr>
        <w:ind w:left="7477" w:hanging="535"/>
      </w:pPr>
      <w:rPr>
        <w:rFonts w:hint="default"/>
        <w:lang w:val="en-GB" w:eastAsia="en-GB" w:bidi="en-GB"/>
      </w:rPr>
    </w:lvl>
  </w:abstractNum>
  <w:abstractNum w:abstractNumId="22">
    <w:nsid w:val="3A9829A8"/>
    <w:multiLevelType w:val="multilevel"/>
    <w:tmpl w:val="38B62F36"/>
    <w:lvl w:ilvl="0">
      <w:start w:val="12"/>
      <w:numFmt w:val="decimal"/>
      <w:lvlText w:val="%1"/>
      <w:lvlJc w:val="left"/>
      <w:pPr>
        <w:ind w:left="650" w:hanging="537"/>
        <w:jc w:val="left"/>
      </w:pPr>
      <w:rPr>
        <w:rFonts w:hint="default"/>
        <w:lang w:val="en-GB" w:eastAsia="en-GB" w:bidi="en-GB"/>
      </w:rPr>
    </w:lvl>
    <w:lvl w:ilvl="1">
      <w:numFmt w:val="decimal"/>
      <w:lvlText w:val="%1.%2"/>
      <w:lvlJc w:val="left"/>
      <w:pPr>
        <w:ind w:left="650" w:hanging="537"/>
        <w:jc w:val="right"/>
      </w:pPr>
      <w:rPr>
        <w:rFonts w:ascii="Arial" w:eastAsia="Arial" w:hAnsi="Arial" w:cs="Arial" w:hint="default"/>
        <w:b/>
        <w:bCs/>
        <w:w w:val="99"/>
        <w:sz w:val="24"/>
        <w:szCs w:val="24"/>
        <w:lang w:val="en-GB" w:eastAsia="en-GB" w:bidi="en-GB"/>
      </w:rPr>
    </w:lvl>
    <w:lvl w:ilvl="2">
      <w:numFmt w:val="bullet"/>
      <w:lvlText w:val="•"/>
      <w:lvlJc w:val="left"/>
      <w:pPr>
        <w:ind w:left="2365" w:hanging="537"/>
      </w:pPr>
      <w:rPr>
        <w:rFonts w:hint="default"/>
        <w:lang w:val="en-GB" w:eastAsia="en-GB" w:bidi="en-GB"/>
      </w:rPr>
    </w:lvl>
    <w:lvl w:ilvl="3">
      <w:numFmt w:val="bullet"/>
      <w:lvlText w:val="•"/>
      <w:lvlJc w:val="left"/>
      <w:pPr>
        <w:ind w:left="3217" w:hanging="537"/>
      </w:pPr>
      <w:rPr>
        <w:rFonts w:hint="default"/>
        <w:lang w:val="en-GB" w:eastAsia="en-GB" w:bidi="en-GB"/>
      </w:rPr>
    </w:lvl>
    <w:lvl w:ilvl="4">
      <w:numFmt w:val="bullet"/>
      <w:lvlText w:val="•"/>
      <w:lvlJc w:val="left"/>
      <w:pPr>
        <w:ind w:left="4070" w:hanging="537"/>
      </w:pPr>
      <w:rPr>
        <w:rFonts w:hint="default"/>
        <w:lang w:val="en-GB" w:eastAsia="en-GB" w:bidi="en-GB"/>
      </w:rPr>
    </w:lvl>
    <w:lvl w:ilvl="5">
      <w:numFmt w:val="bullet"/>
      <w:lvlText w:val="•"/>
      <w:lvlJc w:val="left"/>
      <w:pPr>
        <w:ind w:left="4923" w:hanging="537"/>
      </w:pPr>
      <w:rPr>
        <w:rFonts w:hint="default"/>
        <w:lang w:val="en-GB" w:eastAsia="en-GB" w:bidi="en-GB"/>
      </w:rPr>
    </w:lvl>
    <w:lvl w:ilvl="6">
      <w:numFmt w:val="bullet"/>
      <w:lvlText w:val="•"/>
      <w:lvlJc w:val="left"/>
      <w:pPr>
        <w:ind w:left="5775" w:hanging="537"/>
      </w:pPr>
      <w:rPr>
        <w:rFonts w:hint="default"/>
        <w:lang w:val="en-GB" w:eastAsia="en-GB" w:bidi="en-GB"/>
      </w:rPr>
    </w:lvl>
    <w:lvl w:ilvl="7">
      <w:numFmt w:val="bullet"/>
      <w:lvlText w:val="•"/>
      <w:lvlJc w:val="left"/>
      <w:pPr>
        <w:ind w:left="6628" w:hanging="537"/>
      </w:pPr>
      <w:rPr>
        <w:rFonts w:hint="default"/>
        <w:lang w:val="en-GB" w:eastAsia="en-GB" w:bidi="en-GB"/>
      </w:rPr>
    </w:lvl>
    <w:lvl w:ilvl="8">
      <w:numFmt w:val="bullet"/>
      <w:lvlText w:val="•"/>
      <w:lvlJc w:val="left"/>
      <w:pPr>
        <w:ind w:left="7481" w:hanging="537"/>
      </w:pPr>
      <w:rPr>
        <w:rFonts w:hint="default"/>
        <w:lang w:val="en-GB" w:eastAsia="en-GB" w:bidi="en-GB"/>
      </w:rPr>
    </w:lvl>
  </w:abstractNum>
  <w:abstractNum w:abstractNumId="23">
    <w:nsid w:val="3CBE0A6D"/>
    <w:multiLevelType w:val="multilevel"/>
    <w:tmpl w:val="8A8E097E"/>
    <w:lvl w:ilvl="0">
      <w:start w:val="8"/>
      <w:numFmt w:val="decimal"/>
      <w:lvlText w:val="%1"/>
      <w:lvlJc w:val="left"/>
      <w:pPr>
        <w:ind w:left="684" w:hanging="471"/>
        <w:jc w:val="left"/>
      </w:pPr>
      <w:rPr>
        <w:rFonts w:hint="default"/>
        <w:lang w:val="en-GB" w:eastAsia="en-GB" w:bidi="en-GB"/>
      </w:rPr>
    </w:lvl>
    <w:lvl w:ilvl="1">
      <w:numFmt w:val="decimal"/>
      <w:lvlText w:val="%1.%2"/>
      <w:lvlJc w:val="left"/>
      <w:pPr>
        <w:ind w:left="684" w:hanging="471"/>
        <w:jc w:val="left"/>
      </w:pPr>
      <w:rPr>
        <w:rFonts w:hint="default"/>
        <w:b/>
        <w:bCs/>
        <w:w w:val="100"/>
        <w:lang w:val="en-GB" w:eastAsia="en-GB" w:bidi="en-GB"/>
      </w:rPr>
    </w:lvl>
    <w:lvl w:ilvl="2">
      <w:numFmt w:val="bullet"/>
      <w:lvlText w:val="•"/>
      <w:lvlJc w:val="left"/>
      <w:pPr>
        <w:ind w:left="2433" w:hanging="471"/>
      </w:pPr>
      <w:rPr>
        <w:rFonts w:hint="default"/>
        <w:lang w:val="en-GB" w:eastAsia="en-GB" w:bidi="en-GB"/>
      </w:rPr>
    </w:lvl>
    <w:lvl w:ilvl="3">
      <w:numFmt w:val="bullet"/>
      <w:lvlText w:val="•"/>
      <w:lvlJc w:val="left"/>
      <w:pPr>
        <w:ind w:left="3309" w:hanging="471"/>
      </w:pPr>
      <w:rPr>
        <w:rFonts w:hint="default"/>
        <w:lang w:val="en-GB" w:eastAsia="en-GB" w:bidi="en-GB"/>
      </w:rPr>
    </w:lvl>
    <w:lvl w:ilvl="4">
      <w:numFmt w:val="bullet"/>
      <w:lvlText w:val="•"/>
      <w:lvlJc w:val="left"/>
      <w:pPr>
        <w:ind w:left="4186" w:hanging="471"/>
      </w:pPr>
      <w:rPr>
        <w:rFonts w:hint="default"/>
        <w:lang w:val="en-GB" w:eastAsia="en-GB" w:bidi="en-GB"/>
      </w:rPr>
    </w:lvl>
    <w:lvl w:ilvl="5">
      <w:numFmt w:val="bullet"/>
      <w:lvlText w:val="•"/>
      <w:lvlJc w:val="left"/>
      <w:pPr>
        <w:ind w:left="5063" w:hanging="471"/>
      </w:pPr>
      <w:rPr>
        <w:rFonts w:hint="default"/>
        <w:lang w:val="en-GB" w:eastAsia="en-GB" w:bidi="en-GB"/>
      </w:rPr>
    </w:lvl>
    <w:lvl w:ilvl="6">
      <w:numFmt w:val="bullet"/>
      <w:lvlText w:val="•"/>
      <w:lvlJc w:val="left"/>
      <w:pPr>
        <w:ind w:left="5939" w:hanging="471"/>
      </w:pPr>
      <w:rPr>
        <w:rFonts w:hint="default"/>
        <w:lang w:val="en-GB" w:eastAsia="en-GB" w:bidi="en-GB"/>
      </w:rPr>
    </w:lvl>
    <w:lvl w:ilvl="7">
      <w:numFmt w:val="bullet"/>
      <w:lvlText w:val="•"/>
      <w:lvlJc w:val="left"/>
      <w:pPr>
        <w:ind w:left="6816" w:hanging="471"/>
      </w:pPr>
      <w:rPr>
        <w:rFonts w:hint="default"/>
        <w:lang w:val="en-GB" w:eastAsia="en-GB" w:bidi="en-GB"/>
      </w:rPr>
    </w:lvl>
    <w:lvl w:ilvl="8">
      <w:numFmt w:val="bullet"/>
      <w:lvlText w:val="•"/>
      <w:lvlJc w:val="left"/>
      <w:pPr>
        <w:ind w:left="7693" w:hanging="471"/>
      </w:pPr>
      <w:rPr>
        <w:rFonts w:hint="default"/>
        <w:lang w:val="en-GB" w:eastAsia="en-GB" w:bidi="en-GB"/>
      </w:rPr>
    </w:lvl>
  </w:abstractNum>
  <w:abstractNum w:abstractNumId="24">
    <w:nsid w:val="3E9B7C17"/>
    <w:multiLevelType w:val="multilevel"/>
    <w:tmpl w:val="ABB8260E"/>
    <w:lvl w:ilvl="0">
      <w:start w:val="2"/>
      <w:numFmt w:val="decimal"/>
      <w:lvlText w:val="%1"/>
      <w:lvlJc w:val="left"/>
      <w:pPr>
        <w:ind w:left="581" w:hanging="468"/>
        <w:jc w:val="left"/>
      </w:pPr>
      <w:rPr>
        <w:rFonts w:hint="default"/>
        <w:lang w:val="en-GB" w:eastAsia="en-GB" w:bidi="en-GB"/>
      </w:rPr>
    </w:lvl>
    <w:lvl w:ilvl="1">
      <w:numFmt w:val="decimal"/>
      <w:lvlText w:val="%1.%2"/>
      <w:lvlJc w:val="left"/>
      <w:pPr>
        <w:ind w:left="581" w:hanging="468"/>
        <w:jc w:val="left"/>
      </w:pPr>
      <w:rPr>
        <w:rFonts w:hint="default"/>
        <w:b/>
        <w:bCs/>
        <w:w w:val="100"/>
        <w:lang w:val="en-GB" w:eastAsia="en-GB" w:bidi="en-GB"/>
      </w:rPr>
    </w:lvl>
    <w:lvl w:ilvl="2">
      <w:numFmt w:val="bullet"/>
      <w:lvlText w:val="•"/>
      <w:lvlJc w:val="left"/>
      <w:pPr>
        <w:ind w:left="2301" w:hanging="468"/>
      </w:pPr>
      <w:rPr>
        <w:rFonts w:hint="default"/>
        <w:lang w:val="en-GB" w:eastAsia="en-GB" w:bidi="en-GB"/>
      </w:rPr>
    </w:lvl>
    <w:lvl w:ilvl="3">
      <w:numFmt w:val="bullet"/>
      <w:lvlText w:val="•"/>
      <w:lvlJc w:val="left"/>
      <w:pPr>
        <w:ind w:left="3161" w:hanging="468"/>
      </w:pPr>
      <w:rPr>
        <w:rFonts w:hint="default"/>
        <w:lang w:val="en-GB" w:eastAsia="en-GB" w:bidi="en-GB"/>
      </w:rPr>
    </w:lvl>
    <w:lvl w:ilvl="4">
      <w:numFmt w:val="bullet"/>
      <w:lvlText w:val="•"/>
      <w:lvlJc w:val="left"/>
      <w:pPr>
        <w:ind w:left="4022" w:hanging="468"/>
      </w:pPr>
      <w:rPr>
        <w:rFonts w:hint="default"/>
        <w:lang w:val="en-GB" w:eastAsia="en-GB" w:bidi="en-GB"/>
      </w:rPr>
    </w:lvl>
    <w:lvl w:ilvl="5">
      <w:numFmt w:val="bullet"/>
      <w:lvlText w:val="•"/>
      <w:lvlJc w:val="left"/>
      <w:pPr>
        <w:ind w:left="4883" w:hanging="468"/>
      </w:pPr>
      <w:rPr>
        <w:rFonts w:hint="default"/>
        <w:lang w:val="en-GB" w:eastAsia="en-GB" w:bidi="en-GB"/>
      </w:rPr>
    </w:lvl>
    <w:lvl w:ilvl="6">
      <w:numFmt w:val="bullet"/>
      <w:lvlText w:val="•"/>
      <w:lvlJc w:val="left"/>
      <w:pPr>
        <w:ind w:left="5743" w:hanging="468"/>
      </w:pPr>
      <w:rPr>
        <w:rFonts w:hint="default"/>
        <w:lang w:val="en-GB" w:eastAsia="en-GB" w:bidi="en-GB"/>
      </w:rPr>
    </w:lvl>
    <w:lvl w:ilvl="7">
      <w:numFmt w:val="bullet"/>
      <w:lvlText w:val="•"/>
      <w:lvlJc w:val="left"/>
      <w:pPr>
        <w:ind w:left="6604" w:hanging="468"/>
      </w:pPr>
      <w:rPr>
        <w:rFonts w:hint="default"/>
        <w:lang w:val="en-GB" w:eastAsia="en-GB" w:bidi="en-GB"/>
      </w:rPr>
    </w:lvl>
    <w:lvl w:ilvl="8">
      <w:numFmt w:val="bullet"/>
      <w:lvlText w:val="•"/>
      <w:lvlJc w:val="left"/>
      <w:pPr>
        <w:ind w:left="7465" w:hanging="468"/>
      </w:pPr>
      <w:rPr>
        <w:rFonts w:hint="default"/>
        <w:lang w:val="en-GB" w:eastAsia="en-GB" w:bidi="en-GB"/>
      </w:rPr>
    </w:lvl>
  </w:abstractNum>
  <w:abstractNum w:abstractNumId="25">
    <w:nsid w:val="40E564F6"/>
    <w:multiLevelType w:val="hybridMultilevel"/>
    <w:tmpl w:val="0652F69A"/>
    <w:lvl w:ilvl="0" w:tplc="2E969FF8">
      <w:start w:val="1"/>
      <w:numFmt w:val="decimal"/>
      <w:lvlText w:val="%1."/>
      <w:lvlJc w:val="left"/>
      <w:pPr>
        <w:ind w:left="114" w:hanging="252"/>
        <w:jc w:val="left"/>
      </w:pPr>
      <w:rPr>
        <w:rFonts w:ascii="Times New Roman" w:eastAsia="Times New Roman" w:hAnsi="Times New Roman" w:cs="Times New Roman" w:hint="default"/>
        <w:w w:val="100"/>
        <w:sz w:val="24"/>
        <w:szCs w:val="24"/>
        <w:lang w:val="en-GB" w:eastAsia="en-GB" w:bidi="en-GB"/>
      </w:rPr>
    </w:lvl>
    <w:lvl w:ilvl="1" w:tplc="56B28040">
      <w:start w:val="1"/>
      <w:numFmt w:val="lowerLetter"/>
      <w:lvlText w:val="%2."/>
      <w:lvlJc w:val="left"/>
      <w:pPr>
        <w:ind w:left="1059" w:hanging="226"/>
        <w:jc w:val="left"/>
      </w:pPr>
      <w:rPr>
        <w:rFonts w:ascii="Times New Roman" w:eastAsia="Times New Roman" w:hAnsi="Times New Roman" w:cs="Times New Roman" w:hint="default"/>
        <w:spacing w:val="-2"/>
        <w:w w:val="99"/>
        <w:sz w:val="24"/>
        <w:szCs w:val="24"/>
        <w:lang w:val="en-GB" w:eastAsia="en-GB" w:bidi="en-GB"/>
      </w:rPr>
    </w:lvl>
    <w:lvl w:ilvl="2" w:tplc="8CECD4F0">
      <w:numFmt w:val="bullet"/>
      <w:lvlText w:val="•"/>
      <w:lvlJc w:val="left"/>
      <w:pPr>
        <w:ind w:left="1962" w:hanging="226"/>
      </w:pPr>
      <w:rPr>
        <w:rFonts w:hint="default"/>
        <w:lang w:val="en-GB" w:eastAsia="en-GB" w:bidi="en-GB"/>
      </w:rPr>
    </w:lvl>
    <w:lvl w:ilvl="3" w:tplc="BA921604">
      <w:numFmt w:val="bullet"/>
      <w:lvlText w:val="•"/>
      <w:lvlJc w:val="left"/>
      <w:pPr>
        <w:ind w:left="2865" w:hanging="226"/>
      </w:pPr>
      <w:rPr>
        <w:rFonts w:hint="default"/>
        <w:lang w:val="en-GB" w:eastAsia="en-GB" w:bidi="en-GB"/>
      </w:rPr>
    </w:lvl>
    <w:lvl w:ilvl="4" w:tplc="FB7ED576">
      <w:numFmt w:val="bullet"/>
      <w:lvlText w:val="•"/>
      <w:lvlJc w:val="left"/>
      <w:pPr>
        <w:ind w:left="3768" w:hanging="226"/>
      </w:pPr>
      <w:rPr>
        <w:rFonts w:hint="default"/>
        <w:lang w:val="en-GB" w:eastAsia="en-GB" w:bidi="en-GB"/>
      </w:rPr>
    </w:lvl>
    <w:lvl w:ilvl="5" w:tplc="8D243D66">
      <w:numFmt w:val="bullet"/>
      <w:lvlText w:val="•"/>
      <w:lvlJc w:val="left"/>
      <w:pPr>
        <w:ind w:left="4671" w:hanging="226"/>
      </w:pPr>
      <w:rPr>
        <w:rFonts w:hint="default"/>
        <w:lang w:val="en-GB" w:eastAsia="en-GB" w:bidi="en-GB"/>
      </w:rPr>
    </w:lvl>
    <w:lvl w:ilvl="6" w:tplc="C908AADE">
      <w:numFmt w:val="bullet"/>
      <w:lvlText w:val="•"/>
      <w:lvlJc w:val="left"/>
      <w:pPr>
        <w:ind w:left="5574" w:hanging="226"/>
      </w:pPr>
      <w:rPr>
        <w:rFonts w:hint="default"/>
        <w:lang w:val="en-GB" w:eastAsia="en-GB" w:bidi="en-GB"/>
      </w:rPr>
    </w:lvl>
    <w:lvl w:ilvl="7" w:tplc="89E212AC">
      <w:numFmt w:val="bullet"/>
      <w:lvlText w:val="•"/>
      <w:lvlJc w:val="left"/>
      <w:pPr>
        <w:ind w:left="6477" w:hanging="226"/>
      </w:pPr>
      <w:rPr>
        <w:rFonts w:hint="default"/>
        <w:lang w:val="en-GB" w:eastAsia="en-GB" w:bidi="en-GB"/>
      </w:rPr>
    </w:lvl>
    <w:lvl w:ilvl="8" w:tplc="D888807E">
      <w:numFmt w:val="bullet"/>
      <w:lvlText w:val="•"/>
      <w:lvlJc w:val="left"/>
      <w:pPr>
        <w:ind w:left="7380" w:hanging="226"/>
      </w:pPr>
      <w:rPr>
        <w:rFonts w:hint="default"/>
        <w:lang w:val="en-GB" w:eastAsia="en-GB" w:bidi="en-GB"/>
      </w:rPr>
    </w:lvl>
  </w:abstractNum>
  <w:abstractNum w:abstractNumId="26">
    <w:nsid w:val="43D45BD4"/>
    <w:multiLevelType w:val="multilevel"/>
    <w:tmpl w:val="547EC870"/>
    <w:lvl w:ilvl="0">
      <w:start w:val="21"/>
      <w:numFmt w:val="decimal"/>
      <w:lvlText w:val="%1"/>
      <w:lvlJc w:val="left"/>
      <w:pPr>
        <w:ind w:left="888" w:hanging="535"/>
        <w:jc w:val="left"/>
      </w:pPr>
      <w:rPr>
        <w:rFonts w:hint="default"/>
        <w:lang w:val="en-GB" w:eastAsia="en-GB" w:bidi="en-GB"/>
      </w:rPr>
    </w:lvl>
    <w:lvl w:ilvl="1">
      <w:start w:val="1"/>
      <w:numFmt w:val="decimal"/>
      <w:lvlText w:val="%1.%2"/>
      <w:lvlJc w:val="left"/>
      <w:pPr>
        <w:ind w:left="888" w:hanging="535"/>
        <w:jc w:val="left"/>
      </w:pPr>
      <w:rPr>
        <w:rFonts w:ascii="Arial" w:eastAsia="Arial" w:hAnsi="Arial" w:cs="Arial" w:hint="default"/>
        <w:b/>
        <w:bCs/>
        <w:w w:val="99"/>
        <w:sz w:val="24"/>
        <w:szCs w:val="24"/>
        <w:lang w:val="en-GB" w:eastAsia="en-GB" w:bidi="en-GB"/>
      </w:rPr>
    </w:lvl>
    <w:lvl w:ilvl="2">
      <w:numFmt w:val="bullet"/>
      <w:lvlText w:val="•"/>
      <w:lvlJc w:val="left"/>
      <w:pPr>
        <w:ind w:left="2541" w:hanging="535"/>
      </w:pPr>
      <w:rPr>
        <w:rFonts w:hint="default"/>
        <w:lang w:val="en-GB" w:eastAsia="en-GB" w:bidi="en-GB"/>
      </w:rPr>
    </w:lvl>
    <w:lvl w:ilvl="3">
      <w:numFmt w:val="bullet"/>
      <w:lvlText w:val="•"/>
      <w:lvlJc w:val="left"/>
      <w:pPr>
        <w:ind w:left="3371" w:hanging="535"/>
      </w:pPr>
      <w:rPr>
        <w:rFonts w:hint="default"/>
        <w:lang w:val="en-GB" w:eastAsia="en-GB" w:bidi="en-GB"/>
      </w:rPr>
    </w:lvl>
    <w:lvl w:ilvl="4">
      <w:numFmt w:val="bullet"/>
      <w:lvlText w:val="•"/>
      <w:lvlJc w:val="left"/>
      <w:pPr>
        <w:ind w:left="4202" w:hanging="535"/>
      </w:pPr>
      <w:rPr>
        <w:rFonts w:hint="default"/>
        <w:lang w:val="en-GB" w:eastAsia="en-GB" w:bidi="en-GB"/>
      </w:rPr>
    </w:lvl>
    <w:lvl w:ilvl="5">
      <w:numFmt w:val="bullet"/>
      <w:lvlText w:val="•"/>
      <w:lvlJc w:val="left"/>
      <w:pPr>
        <w:ind w:left="5033" w:hanging="535"/>
      </w:pPr>
      <w:rPr>
        <w:rFonts w:hint="default"/>
        <w:lang w:val="en-GB" w:eastAsia="en-GB" w:bidi="en-GB"/>
      </w:rPr>
    </w:lvl>
    <w:lvl w:ilvl="6">
      <w:numFmt w:val="bullet"/>
      <w:lvlText w:val="•"/>
      <w:lvlJc w:val="left"/>
      <w:pPr>
        <w:ind w:left="5863" w:hanging="535"/>
      </w:pPr>
      <w:rPr>
        <w:rFonts w:hint="default"/>
        <w:lang w:val="en-GB" w:eastAsia="en-GB" w:bidi="en-GB"/>
      </w:rPr>
    </w:lvl>
    <w:lvl w:ilvl="7">
      <w:numFmt w:val="bullet"/>
      <w:lvlText w:val="•"/>
      <w:lvlJc w:val="left"/>
      <w:pPr>
        <w:ind w:left="6694" w:hanging="535"/>
      </w:pPr>
      <w:rPr>
        <w:rFonts w:hint="default"/>
        <w:lang w:val="en-GB" w:eastAsia="en-GB" w:bidi="en-GB"/>
      </w:rPr>
    </w:lvl>
    <w:lvl w:ilvl="8">
      <w:numFmt w:val="bullet"/>
      <w:lvlText w:val="•"/>
      <w:lvlJc w:val="left"/>
      <w:pPr>
        <w:ind w:left="7525" w:hanging="535"/>
      </w:pPr>
      <w:rPr>
        <w:rFonts w:hint="default"/>
        <w:lang w:val="en-GB" w:eastAsia="en-GB" w:bidi="en-GB"/>
      </w:rPr>
    </w:lvl>
  </w:abstractNum>
  <w:abstractNum w:abstractNumId="27">
    <w:nsid w:val="45313C71"/>
    <w:multiLevelType w:val="multilevel"/>
    <w:tmpl w:val="09B608F8"/>
    <w:lvl w:ilvl="0">
      <w:start w:val="7"/>
      <w:numFmt w:val="decimal"/>
      <w:lvlText w:val="%1"/>
      <w:lvlJc w:val="left"/>
      <w:pPr>
        <w:ind w:left="681" w:hanging="468"/>
        <w:jc w:val="left"/>
      </w:pPr>
      <w:rPr>
        <w:rFonts w:hint="default"/>
        <w:lang w:val="en-GB" w:eastAsia="en-GB" w:bidi="en-GB"/>
      </w:rPr>
    </w:lvl>
    <w:lvl w:ilvl="1">
      <w:numFmt w:val="decimal"/>
      <w:lvlText w:val="%1.%2"/>
      <w:lvlJc w:val="left"/>
      <w:pPr>
        <w:ind w:left="681" w:hanging="468"/>
        <w:jc w:val="left"/>
      </w:pPr>
      <w:rPr>
        <w:rFonts w:hint="default"/>
        <w:b/>
        <w:bCs/>
        <w:w w:val="100"/>
        <w:lang w:val="en-GB" w:eastAsia="en-GB" w:bidi="en-GB"/>
      </w:rPr>
    </w:lvl>
    <w:lvl w:ilvl="2">
      <w:numFmt w:val="bullet"/>
      <w:lvlText w:val="•"/>
      <w:lvlJc w:val="left"/>
      <w:pPr>
        <w:ind w:left="2433" w:hanging="468"/>
      </w:pPr>
      <w:rPr>
        <w:rFonts w:hint="default"/>
        <w:lang w:val="en-GB" w:eastAsia="en-GB" w:bidi="en-GB"/>
      </w:rPr>
    </w:lvl>
    <w:lvl w:ilvl="3">
      <w:numFmt w:val="bullet"/>
      <w:lvlText w:val="•"/>
      <w:lvlJc w:val="left"/>
      <w:pPr>
        <w:ind w:left="3309" w:hanging="468"/>
      </w:pPr>
      <w:rPr>
        <w:rFonts w:hint="default"/>
        <w:lang w:val="en-GB" w:eastAsia="en-GB" w:bidi="en-GB"/>
      </w:rPr>
    </w:lvl>
    <w:lvl w:ilvl="4">
      <w:numFmt w:val="bullet"/>
      <w:lvlText w:val="•"/>
      <w:lvlJc w:val="left"/>
      <w:pPr>
        <w:ind w:left="4186" w:hanging="468"/>
      </w:pPr>
      <w:rPr>
        <w:rFonts w:hint="default"/>
        <w:lang w:val="en-GB" w:eastAsia="en-GB" w:bidi="en-GB"/>
      </w:rPr>
    </w:lvl>
    <w:lvl w:ilvl="5">
      <w:numFmt w:val="bullet"/>
      <w:lvlText w:val="•"/>
      <w:lvlJc w:val="left"/>
      <w:pPr>
        <w:ind w:left="5063" w:hanging="468"/>
      </w:pPr>
      <w:rPr>
        <w:rFonts w:hint="default"/>
        <w:lang w:val="en-GB" w:eastAsia="en-GB" w:bidi="en-GB"/>
      </w:rPr>
    </w:lvl>
    <w:lvl w:ilvl="6">
      <w:numFmt w:val="bullet"/>
      <w:lvlText w:val="•"/>
      <w:lvlJc w:val="left"/>
      <w:pPr>
        <w:ind w:left="5939" w:hanging="468"/>
      </w:pPr>
      <w:rPr>
        <w:rFonts w:hint="default"/>
        <w:lang w:val="en-GB" w:eastAsia="en-GB" w:bidi="en-GB"/>
      </w:rPr>
    </w:lvl>
    <w:lvl w:ilvl="7">
      <w:numFmt w:val="bullet"/>
      <w:lvlText w:val="•"/>
      <w:lvlJc w:val="left"/>
      <w:pPr>
        <w:ind w:left="6816" w:hanging="468"/>
      </w:pPr>
      <w:rPr>
        <w:rFonts w:hint="default"/>
        <w:lang w:val="en-GB" w:eastAsia="en-GB" w:bidi="en-GB"/>
      </w:rPr>
    </w:lvl>
    <w:lvl w:ilvl="8">
      <w:numFmt w:val="bullet"/>
      <w:lvlText w:val="•"/>
      <w:lvlJc w:val="left"/>
      <w:pPr>
        <w:ind w:left="7693" w:hanging="468"/>
      </w:pPr>
      <w:rPr>
        <w:rFonts w:hint="default"/>
        <w:lang w:val="en-GB" w:eastAsia="en-GB" w:bidi="en-GB"/>
      </w:rPr>
    </w:lvl>
  </w:abstractNum>
  <w:abstractNum w:abstractNumId="28">
    <w:nsid w:val="45F218FB"/>
    <w:multiLevelType w:val="hybridMultilevel"/>
    <w:tmpl w:val="F2C8956A"/>
    <w:lvl w:ilvl="0" w:tplc="B27A7804">
      <w:start w:val="1"/>
      <w:numFmt w:val="lowerLetter"/>
      <w:lvlText w:val="%1)"/>
      <w:lvlJc w:val="left"/>
      <w:pPr>
        <w:ind w:left="766" w:hanging="485"/>
        <w:jc w:val="left"/>
      </w:pPr>
      <w:rPr>
        <w:rFonts w:ascii="Times New Roman" w:eastAsia="Times New Roman" w:hAnsi="Times New Roman" w:cs="Times New Roman" w:hint="default"/>
        <w:spacing w:val="-2"/>
        <w:w w:val="99"/>
        <w:sz w:val="24"/>
        <w:szCs w:val="24"/>
        <w:lang w:val="en-GB" w:eastAsia="en-GB" w:bidi="en-GB"/>
      </w:rPr>
    </w:lvl>
    <w:lvl w:ilvl="1" w:tplc="C3842026">
      <w:numFmt w:val="bullet"/>
      <w:lvlText w:val="•"/>
      <w:lvlJc w:val="left"/>
      <w:pPr>
        <w:ind w:left="1628" w:hanging="485"/>
      </w:pPr>
      <w:rPr>
        <w:rFonts w:hint="default"/>
        <w:lang w:val="en-GB" w:eastAsia="en-GB" w:bidi="en-GB"/>
      </w:rPr>
    </w:lvl>
    <w:lvl w:ilvl="2" w:tplc="99C00940">
      <w:numFmt w:val="bullet"/>
      <w:lvlText w:val="•"/>
      <w:lvlJc w:val="left"/>
      <w:pPr>
        <w:ind w:left="2497" w:hanging="485"/>
      </w:pPr>
      <w:rPr>
        <w:rFonts w:hint="default"/>
        <w:lang w:val="en-GB" w:eastAsia="en-GB" w:bidi="en-GB"/>
      </w:rPr>
    </w:lvl>
    <w:lvl w:ilvl="3" w:tplc="374255CE">
      <w:numFmt w:val="bullet"/>
      <w:lvlText w:val="•"/>
      <w:lvlJc w:val="left"/>
      <w:pPr>
        <w:ind w:left="3365" w:hanging="485"/>
      </w:pPr>
      <w:rPr>
        <w:rFonts w:hint="default"/>
        <w:lang w:val="en-GB" w:eastAsia="en-GB" w:bidi="en-GB"/>
      </w:rPr>
    </w:lvl>
    <w:lvl w:ilvl="4" w:tplc="46DCEC48">
      <w:numFmt w:val="bullet"/>
      <w:lvlText w:val="•"/>
      <w:lvlJc w:val="left"/>
      <w:pPr>
        <w:ind w:left="4234" w:hanging="485"/>
      </w:pPr>
      <w:rPr>
        <w:rFonts w:hint="default"/>
        <w:lang w:val="en-GB" w:eastAsia="en-GB" w:bidi="en-GB"/>
      </w:rPr>
    </w:lvl>
    <w:lvl w:ilvl="5" w:tplc="18280166">
      <w:numFmt w:val="bullet"/>
      <w:lvlText w:val="•"/>
      <w:lvlJc w:val="left"/>
      <w:pPr>
        <w:ind w:left="5103" w:hanging="485"/>
      </w:pPr>
      <w:rPr>
        <w:rFonts w:hint="default"/>
        <w:lang w:val="en-GB" w:eastAsia="en-GB" w:bidi="en-GB"/>
      </w:rPr>
    </w:lvl>
    <w:lvl w:ilvl="6" w:tplc="F056933E">
      <w:numFmt w:val="bullet"/>
      <w:lvlText w:val="•"/>
      <w:lvlJc w:val="left"/>
      <w:pPr>
        <w:ind w:left="5971" w:hanging="485"/>
      </w:pPr>
      <w:rPr>
        <w:rFonts w:hint="default"/>
        <w:lang w:val="en-GB" w:eastAsia="en-GB" w:bidi="en-GB"/>
      </w:rPr>
    </w:lvl>
    <w:lvl w:ilvl="7" w:tplc="2744A7C4">
      <w:numFmt w:val="bullet"/>
      <w:lvlText w:val="•"/>
      <w:lvlJc w:val="left"/>
      <w:pPr>
        <w:ind w:left="6840" w:hanging="485"/>
      </w:pPr>
      <w:rPr>
        <w:rFonts w:hint="default"/>
        <w:lang w:val="en-GB" w:eastAsia="en-GB" w:bidi="en-GB"/>
      </w:rPr>
    </w:lvl>
    <w:lvl w:ilvl="8" w:tplc="863046DC">
      <w:numFmt w:val="bullet"/>
      <w:lvlText w:val="•"/>
      <w:lvlJc w:val="left"/>
      <w:pPr>
        <w:ind w:left="7709" w:hanging="485"/>
      </w:pPr>
      <w:rPr>
        <w:rFonts w:hint="default"/>
        <w:lang w:val="en-GB" w:eastAsia="en-GB" w:bidi="en-GB"/>
      </w:rPr>
    </w:lvl>
  </w:abstractNum>
  <w:abstractNum w:abstractNumId="29">
    <w:nsid w:val="4CE76D4A"/>
    <w:multiLevelType w:val="hybridMultilevel"/>
    <w:tmpl w:val="DF288796"/>
    <w:lvl w:ilvl="0" w:tplc="2EDADEF6">
      <w:start w:val="1"/>
      <w:numFmt w:val="decimal"/>
      <w:lvlText w:val="%1."/>
      <w:lvlJc w:val="left"/>
      <w:pPr>
        <w:ind w:left="834" w:hanging="360"/>
        <w:jc w:val="left"/>
      </w:pPr>
      <w:rPr>
        <w:rFonts w:ascii="Times New Roman" w:eastAsia="Times New Roman" w:hAnsi="Times New Roman" w:cs="Times New Roman" w:hint="default"/>
        <w:spacing w:val="-5"/>
        <w:w w:val="99"/>
        <w:sz w:val="24"/>
        <w:szCs w:val="24"/>
        <w:lang w:val="en-GB" w:eastAsia="en-GB" w:bidi="en-GB"/>
      </w:rPr>
    </w:lvl>
    <w:lvl w:ilvl="1" w:tplc="376A67F6">
      <w:numFmt w:val="bullet"/>
      <w:lvlText w:val="•"/>
      <w:lvlJc w:val="left"/>
      <w:pPr>
        <w:ind w:left="1674" w:hanging="360"/>
      </w:pPr>
      <w:rPr>
        <w:rFonts w:hint="default"/>
        <w:lang w:val="en-GB" w:eastAsia="en-GB" w:bidi="en-GB"/>
      </w:rPr>
    </w:lvl>
    <w:lvl w:ilvl="2" w:tplc="C6F8940A">
      <w:numFmt w:val="bullet"/>
      <w:lvlText w:val="•"/>
      <w:lvlJc w:val="left"/>
      <w:pPr>
        <w:ind w:left="2509" w:hanging="360"/>
      </w:pPr>
      <w:rPr>
        <w:rFonts w:hint="default"/>
        <w:lang w:val="en-GB" w:eastAsia="en-GB" w:bidi="en-GB"/>
      </w:rPr>
    </w:lvl>
    <w:lvl w:ilvl="3" w:tplc="C116E108">
      <w:numFmt w:val="bullet"/>
      <w:lvlText w:val="•"/>
      <w:lvlJc w:val="left"/>
      <w:pPr>
        <w:ind w:left="3343" w:hanging="360"/>
      </w:pPr>
      <w:rPr>
        <w:rFonts w:hint="default"/>
        <w:lang w:val="en-GB" w:eastAsia="en-GB" w:bidi="en-GB"/>
      </w:rPr>
    </w:lvl>
    <w:lvl w:ilvl="4" w:tplc="98428358">
      <w:numFmt w:val="bullet"/>
      <w:lvlText w:val="•"/>
      <w:lvlJc w:val="left"/>
      <w:pPr>
        <w:ind w:left="4178" w:hanging="360"/>
      </w:pPr>
      <w:rPr>
        <w:rFonts w:hint="default"/>
        <w:lang w:val="en-GB" w:eastAsia="en-GB" w:bidi="en-GB"/>
      </w:rPr>
    </w:lvl>
    <w:lvl w:ilvl="5" w:tplc="5722464E">
      <w:numFmt w:val="bullet"/>
      <w:lvlText w:val="•"/>
      <w:lvlJc w:val="left"/>
      <w:pPr>
        <w:ind w:left="5013" w:hanging="360"/>
      </w:pPr>
      <w:rPr>
        <w:rFonts w:hint="default"/>
        <w:lang w:val="en-GB" w:eastAsia="en-GB" w:bidi="en-GB"/>
      </w:rPr>
    </w:lvl>
    <w:lvl w:ilvl="6" w:tplc="846452E8">
      <w:numFmt w:val="bullet"/>
      <w:lvlText w:val="•"/>
      <w:lvlJc w:val="left"/>
      <w:pPr>
        <w:ind w:left="5847" w:hanging="360"/>
      </w:pPr>
      <w:rPr>
        <w:rFonts w:hint="default"/>
        <w:lang w:val="en-GB" w:eastAsia="en-GB" w:bidi="en-GB"/>
      </w:rPr>
    </w:lvl>
    <w:lvl w:ilvl="7" w:tplc="F0B8810A">
      <w:numFmt w:val="bullet"/>
      <w:lvlText w:val="•"/>
      <w:lvlJc w:val="left"/>
      <w:pPr>
        <w:ind w:left="6682" w:hanging="360"/>
      </w:pPr>
      <w:rPr>
        <w:rFonts w:hint="default"/>
        <w:lang w:val="en-GB" w:eastAsia="en-GB" w:bidi="en-GB"/>
      </w:rPr>
    </w:lvl>
    <w:lvl w:ilvl="8" w:tplc="FE5A60A6">
      <w:numFmt w:val="bullet"/>
      <w:lvlText w:val="•"/>
      <w:lvlJc w:val="left"/>
      <w:pPr>
        <w:ind w:left="7517" w:hanging="360"/>
      </w:pPr>
      <w:rPr>
        <w:rFonts w:hint="default"/>
        <w:lang w:val="en-GB" w:eastAsia="en-GB" w:bidi="en-GB"/>
      </w:rPr>
    </w:lvl>
  </w:abstractNum>
  <w:abstractNum w:abstractNumId="30">
    <w:nsid w:val="4D127F6C"/>
    <w:multiLevelType w:val="multilevel"/>
    <w:tmpl w:val="573C23F0"/>
    <w:lvl w:ilvl="0">
      <w:start w:val="5"/>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numFmt w:val="bullet"/>
      <w:lvlText w:val="•"/>
      <w:lvlJc w:val="left"/>
      <w:pPr>
        <w:ind w:left="2253" w:hanging="403"/>
      </w:pPr>
      <w:rPr>
        <w:rFonts w:hint="default"/>
        <w:lang w:val="en-GB" w:eastAsia="en-GB" w:bidi="en-GB"/>
      </w:rPr>
    </w:lvl>
    <w:lvl w:ilvl="3">
      <w:numFmt w:val="bullet"/>
      <w:lvlText w:val="•"/>
      <w:lvlJc w:val="left"/>
      <w:pPr>
        <w:ind w:left="3119" w:hanging="403"/>
      </w:pPr>
      <w:rPr>
        <w:rFonts w:hint="default"/>
        <w:lang w:val="en-GB" w:eastAsia="en-GB" w:bidi="en-GB"/>
      </w:rPr>
    </w:lvl>
    <w:lvl w:ilvl="4">
      <w:numFmt w:val="bullet"/>
      <w:lvlText w:val="•"/>
      <w:lvlJc w:val="left"/>
      <w:pPr>
        <w:ind w:left="3986" w:hanging="403"/>
      </w:pPr>
      <w:rPr>
        <w:rFonts w:hint="default"/>
        <w:lang w:val="en-GB" w:eastAsia="en-GB" w:bidi="en-GB"/>
      </w:rPr>
    </w:lvl>
    <w:lvl w:ilvl="5">
      <w:numFmt w:val="bullet"/>
      <w:lvlText w:val="•"/>
      <w:lvlJc w:val="left"/>
      <w:pPr>
        <w:ind w:left="4853" w:hanging="403"/>
      </w:pPr>
      <w:rPr>
        <w:rFonts w:hint="default"/>
        <w:lang w:val="en-GB" w:eastAsia="en-GB" w:bidi="en-GB"/>
      </w:rPr>
    </w:lvl>
    <w:lvl w:ilvl="6">
      <w:numFmt w:val="bullet"/>
      <w:lvlText w:val="•"/>
      <w:lvlJc w:val="left"/>
      <w:pPr>
        <w:ind w:left="5719" w:hanging="403"/>
      </w:pPr>
      <w:rPr>
        <w:rFonts w:hint="default"/>
        <w:lang w:val="en-GB" w:eastAsia="en-GB" w:bidi="en-GB"/>
      </w:rPr>
    </w:lvl>
    <w:lvl w:ilvl="7">
      <w:numFmt w:val="bullet"/>
      <w:lvlText w:val="•"/>
      <w:lvlJc w:val="left"/>
      <w:pPr>
        <w:ind w:left="6586" w:hanging="403"/>
      </w:pPr>
      <w:rPr>
        <w:rFonts w:hint="default"/>
        <w:lang w:val="en-GB" w:eastAsia="en-GB" w:bidi="en-GB"/>
      </w:rPr>
    </w:lvl>
    <w:lvl w:ilvl="8">
      <w:numFmt w:val="bullet"/>
      <w:lvlText w:val="•"/>
      <w:lvlJc w:val="left"/>
      <w:pPr>
        <w:ind w:left="7453" w:hanging="403"/>
      </w:pPr>
      <w:rPr>
        <w:rFonts w:hint="default"/>
        <w:lang w:val="en-GB" w:eastAsia="en-GB" w:bidi="en-GB"/>
      </w:rPr>
    </w:lvl>
  </w:abstractNum>
  <w:abstractNum w:abstractNumId="31">
    <w:nsid w:val="51847D91"/>
    <w:multiLevelType w:val="multilevel"/>
    <w:tmpl w:val="16D650B8"/>
    <w:lvl w:ilvl="0">
      <w:start w:val="14"/>
      <w:numFmt w:val="decimal"/>
      <w:lvlText w:val="%1"/>
      <w:lvlJc w:val="left"/>
      <w:pPr>
        <w:ind w:left="838" w:hanging="624"/>
        <w:jc w:val="left"/>
      </w:pPr>
      <w:rPr>
        <w:rFonts w:hint="default"/>
        <w:lang w:val="en-GB" w:eastAsia="en-GB" w:bidi="en-GB"/>
      </w:rPr>
    </w:lvl>
    <w:lvl w:ilvl="1">
      <w:numFmt w:val="decimal"/>
      <w:lvlText w:val="%1.%2"/>
      <w:lvlJc w:val="left"/>
      <w:pPr>
        <w:ind w:left="838" w:hanging="624"/>
        <w:jc w:val="left"/>
      </w:pPr>
      <w:rPr>
        <w:rFonts w:hint="default"/>
        <w:b/>
        <w:bCs/>
        <w:spacing w:val="-1"/>
        <w:w w:val="100"/>
        <w:lang w:val="en-GB" w:eastAsia="en-GB" w:bidi="en-GB"/>
      </w:rPr>
    </w:lvl>
    <w:lvl w:ilvl="2">
      <w:numFmt w:val="bullet"/>
      <w:lvlText w:val="•"/>
      <w:lvlJc w:val="left"/>
      <w:pPr>
        <w:ind w:left="2561" w:hanging="624"/>
      </w:pPr>
      <w:rPr>
        <w:rFonts w:hint="default"/>
        <w:lang w:val="en-GB" w:eastAsia="en-GB" w:bidi="en-GB"/>
      </w:rPr>
    </w:lvl>
    <w:lvl w:ilvl="3">
      <w:numFmt w:val="bullet"/>
      <w:lvlText w:val="•"/>
      <w:lvlJc w:val="left"/>
      <w:pPr>
        <w:ind w:left="3421" w:hanging="624"/>
      </w:pPr>
      <w:rPr>
        <w:rFonts w:hint="default"/>
        <w:lang w:val="en-GB" w:eastAsia="en-GB" w:bidi="en-GB"/>
      </w:rPr>
    </w:lvl>
    <w:lvl w:ilvl="4">
      <w:numFmt w:val="bullet"/>
      <w:lvlText w:val="•"/>
      <w:lvlJc w:val="left"/>
      <w:pPr>
        <w:ind w:left="4282" w:hanging="624"/>
      </w:pPr>
      <w:rPr>
        <w:rFonts w:hint="default"/>
        <w:lang w:val="en-GB" w:eastAsia="en-GB" w:bidi="en-GB"/>
      </w:rPr>
    </w:lvl>
    <w:lvl w:ilvl="5">
      <w:numFmt w:val="bullet"/>
      <w:lvlText w:val="•"/>
      <w:lvlJc w:val="left"/>
      <w:pPr>
        <w:ind w:left="5143" w:hanging="624"/>
      </w:pPr>
      <w:rPr>
        <w:rFonts w:hint="default"/>
        <w:lang w:val="en-GB" w:eastAsia="en-GB" w:bidi="en-GB"/>
      </w:rPr>
    </w:lvl>
    <w:lvl w:ilvl="6">
      <w:numFmt w:val="bullet"/>
      <w:lvlText w:val="•"/>
      <w:lvlJc w:val="left"/>
      <w:pPr>
        <w:ind w:left="6003" w:hanging="624"/>
      </w:pPr>
      <w:rPr>
        <w:rFonts w:hint="default"/>
        <w:lang w:val="en-GB" w:eastAsia="en-GB" w:bidi="en-GB"/>
      </w:rPr>
    </w:lvl>
    <w:lvl w:ilvl="7">
      <w:numFmt w:val="bullet"/>
      <w:lvlText w:val="•"/>
      <w:lvlJc w:val="left"/>
      <w:pPr>
        <w:ind w:left="6864" w:hanging="624"/>
      </w:pPr>
      <w:rPr>
        <w:rFonts w:hint="default"/>
        <w:lang w:val="en-GB" w:eastAsia="en-GB" w:bidi="en-GB"/>
      </w:rPr>
    </w:lvl>
    <w:lvl w:ilvl="8">
      <w:numFmt w:val="bullet"/>
      <w:lvlText w:val="•"/>
      <w:lvlJc w:val="left"/>
      <w:pPr>
        <w:ind w:left="7725" w:hanging="624"/>
      </w:pPr>
      <w:rPr>
        <w:rFonts w:hint="default"/>
        <w:lang w:val="en-GB" w:eastAsia="en-GB" w:bidi="en-GB"/>
      </w:rPr>
    </w:lvl>
  </w:abstractNum>
  <w:abstractNum w:abstractNumId="32">
    <w:nsid w:val="521F248E"/>
    <w:multiLevelType w:val="hybridMultilevel"/>
    <w:tmpl w:val="2E189B4E"/>
    <w:lvl w:ilvl="0" w:tplc="83FCBB54">
      <w:start w:val="1"/>
      <w:numFmt w:val="decimal"/>
      <w:lvlText w:val="%1."/>
      <w:lvlJc w:val="left"/>
      <w:pPr>
        <w:ind w:left="834" w:hanging="360"/>
        <w:jc w:val="left"/>
      </w:pPr>
      <w:rPr>
        <w:rFonts w:ascii="Times New Roman" w:eastAsia="Times New Roman" w:hAnsi="Times New Roman" w:cs="Times New Roman" w:hint="default"/>
        <w:spacing w:val="-15"/>
        <w:w w:val="99"/>
        <w:sz w:val="24"/>
        <w:szCs w:val="24"/>
        <w:lang w:val="en-GB" w:eastAsia="en-GB" w:bidi="en-GB"/>
      </w:rPr>
    </w:lvl>
    <w:lvl w:ilvl="1" w:tplc="F4D4F29C">
      <w:numFmt w:val="bullet"/>
      <w:lvlText w:val="•"/>
      <w:lvlJc w:val="left"/>
      <w:pPr>
        <w:ind w:left="1674" w:hanging="360"/>
      </w:pPr>
      <w:rPr>
        <w:rFonts w:hint="default"/>
        <w:lang w:val="en-GB" w:eastAsia="en-GB" w:bidi="en-GB"/>
      </w:rPr>
    </w:lvl>
    <w:lvl w:ilvl="2" w:tplc="E244E70A">
      <w:numFmt w:val="bullet"/>
      <w:lvlText w:val="•"/>
      <w:lvlJc w:val="left"/>
      <w:pPr>
        <w:ind w:left="2509" w:hanging="360"/>
      </w:pPr>
      <w:rPr>
        <w:rFonts w:hint="default"/>
        <w:lang w:val="en-GB" w:eastAsia="en-GB" w:bidi="en-GB"/>
      </w:rPr>
    </w:lvl>
    <w:lvl w:ilvl="3" w:tplc="09AAFEAC">
      <w:numFmt w:val="bullet"/>
      <w:lvlText w:val="•"/>
      <w:lvlJc w:val="left"/>
      <w:pPr>
        <w:ind w:left="3343" w:hanging="360"/>
      </w:pPr>
      <w:rPr>
        <w:rFonts w:hint="default"/>
        <w:lang w:val="en-GB" w:eastAsia="en-GB" w:bidi="en-GB"/>
      </w:rPr>
    </w:lvl>
    <w:lvl w:ilvl="4" w:tplc="A642A330">
      <w:numFmt w:val="bullet"/>
      <w:lvlText w:val="•"/>
      <w:lvlJc w:val="left"/>
      <w:pPr>
        <w:ind w:left="4178" w:hanging="360"/>
      </w:pPr>
      <w:rPr>
        <w:rFonts w:hint="default"/>
        <w:lang w:val="en-GB" w:eastAsia="en-GB" w:bidi="en-GB"/>
      </w:rPr>
    </w:lvl>
    <w:lvl w:ilvl="5" w:tplc="E456467E">
      <w:numFmt w:val="bullet"/>
      <w:lvlText w:val="•"/>
      <w:lvlJc w:val="left"/>
      <w:pPr>
        <w:ind w:left="5013" w:hanging="360"/>
      </w:pPr>
      <w:rPr>
        <w:rFonts w:hint="default"/>
        <w:lang w:val="en-GB" w:eastAsia="en-GB" w:bidi="en-GB"/>
      </w:rPr>
    </w:lvl>
    <w:lvl w:ilvl="6" w:tplc="E12E22BC">
      <w:numFmt w:val="bullet"/>
      <w:lvlText w:val="•"/>
      <w:lvlJc w:val="left"/>
      <w:pPr>
        <w:ind w:left="5847" w:hanging="360"/>
      </w:pPr>
      <w:rPr>
        <w:rFonts w:hint="default"/>
        <w:lang w:val="en-GB" w:eastAsia="en-GB" w:bidi="en-GB"/>
      </w:rPr>
    </w:lvl>
    <w:lvl w:ilvl="7" w:tplc="E076AEF2">
      <w:numFmt w:val="bullet"/>
      <w:lvlText w:val="•"/>
      <w:lvlJc w:val="left"/>
      <w:pPr>
        <w:ind w:left="6682" w:hanging="360"/>
      </w:pPr>
      <w:rPr>
        <w:rFonts w:hint="default"/>
        <w:lang w:val="en-GB" w:eastAsia="en-GB" w:bidi="en-GB"/>
      </w:rPr>
    </w:lvl>
    <w:lvl w:ilvl="8" w:tplc="FF5E54FE">
      <w:numFmt w:val="bullet"/>
      <w:lvlText w:val="•"/>
      <w:lvlJc w:val="left"/>
      <w:pPr>
        <w:ind w:left="7517" w:hanging="360"/>
      </w:pPr>
      <w:rPr>
        <w:rFonts w:hint="default"/>
        <w:lang w:val="en-GB" w:eastAsia="en-GB" w:bidi="en-GB"/>
      </w:rPr>
    </w:lvl>
  </w:abstractNum>
  <w:abstractNum w:abstractNumId="33">
    <w:nsid w:val="5BDB319C"/>
    <w:multiLevelType w:val="multilevel"/>
    <w:tmpl w:val="F9D02FE2"/>
    <w:lvl w:ilvl="0">
      <w:start w:val="21"/>
      <w:numFmt w:val="decimal"/>
      <w:lvlText w:val="%1"/>
      <w:lvlJc w:val="left"/>
      <w:pPr>
        <w:ind w:left="749" w:hanging="536"/>
        <w:jc w:val="left"/>
      </w:pPr>
      <w:rPr>
        <w:rFonts w:hint="default"/>
        <w:lang w:val="en-GB" w:eastAsia="en-GB" w:bidi="en-GB"/>
      </w:rPr>
    </w:lvl>
    <w:lvl w:ilvl="1">
      <w:start w:val="1"/>
      <w:numFmt w:val="decimal"/>
      <w:lvlText w:val="%1.%2"/>
      <w:lvlJc w:val="left"/>
      <w:pPr>
        <w:ind w:left="749" w:hanging="536"/>
        <w:jc w:val="left"/>
      </w:pPr>
      <w:rPr>
        <w:rFonts w:ascii="Arial" w:eastAsia="Arial" w:hAnsi="Arial" w:cs="Arial" w:hint="default"/>
        <w:b/>
        <w:bCs/>
        <w:w w:val="99"/>
        <w:sz w:val="24"/>
        <w:szCs w:val="24"/>
        <w:lang w:val="en-GB" w:eastAsia="en-GB" w:bidi="en-GB"/>
      </w:rPr>
    </w:lvl>
    <w:lvl w:ilvl="2">
      <w:numFmt w:val="bullet"/>
      <w:lvlText w:val="•"/>
      <w:lvlJc w:val="left"/>
      <w:pPr>
        <w:ind w:left="2481" w:hanging="536"/>
      </w:pPr>
      <w:rPr>
        <w:rFonts w:hint="default"/>
        <w:lang w:val="en-GB" w:eastAsia="en-GB" w:bidi="en-GB"/>
      </w:rPr>
    </w:lvl>
    <w:lvl w:ilvl="3">
      <w:numFmt w:val="bullet"/>
      <w:lvlText w:val="•"/>
      <w:lvlJc w:val="left"/>
      <w:pPr>
        <w:ind w:left="3351" w:hanging="536"/>
      </w:pPr>
      <w:rPr>
        <w:rFonts w:hint="default"/>
        <w:lang w:val="en-GB" w:eastAsia="en-GB" w:bidi="en-GB"/>
      </w:rPr>
    </w:lvl>
    <w:lvl w:ilvl="4">
      <w:numFmt w:val="bullet"/>
      <w:lvlText w:val="•"/>
      <w:lvlJc w:val="left"/>
      <w:pPr>
        <w:ind w:left="4222" w:hanging="536"/>
      </w:pPr>
      <w:rPr>
        <w:rFonts w:hint="default"/>
        <w:lang w:val="en-GB" w:eastAsia="en-GB" w:bidi="en-GB"/>
      </w:rPr>
    </w:lvl>
    <w:lvl w:ilvl="5">
      <w:numFmt w:val="bullet"/>
      <w:lvlText w:val="•"/>
      <w:lvlJc w:val="left"/>
      <w:pPr>
        <w:ind w:left="5093" w:hanging="536"/>
      </w:pPr>
      <w:rPr>
        <w:rFonts w:hint="default"/>
        <w:lang w:val="en-GB" w:eastAsia="en-GB" w:bidi="en-GB"/>
      </w:rPr>
    </w:lvl>
    <w:lvl w:ilvl="6">
      <w:numFmt w:val="bullet"/>
      <w:lvlText w:val="•"/>
      <w:lvlJc w:val="left"/>
      <w:pPr>
        <w:ind w:left="5963" w:hanging="536"/>
      </w:pPr>
      <w:rPr>
        <w:rFonts w:hint="default"/>
        <w:lang w:val="en-GB" w:eastAsia="en-GB" w:bidi="en-GB"/>
      </w:rPr>
    </w:lvl>
    <w:lvl w:ilvl="7">
      <w:numFmt w:val="bullet"/>
      <w:lvlText w:val="•"/>
      <w:lvlJc w:val="left"/>
      <w:pPr>
        <w:ind w:left="6834" w:hanging="536"/>
      </w:pPr>
      <w:rPr>
        <w:rFonts w:hint="default"/>
        <w:lang w:val="en-GB" w:eastAsia="en-GB" w:bidi="en-GB"/>
      </w:rPr>
    </w:lvl>
    <w:lvl w:ilvl="8">
      <w:numFmt w:val="bullet"/>
      <w:lvlText w:val="•"/>
      <w:lvlJc w:val="left"/>
      <w:pPr>
        <w:ind w:left="7705" w:hanging="536"/>
      </w:pPr>
      <w:rPr>
        <w:rFonts w:hint="default"/>
        <w:lang w:val="en-GB" w:eastAsia="en-GB" w:bidi="en-GB"/>
      </w:rPr>
    </w:lvl>
  </w:abstractNum>
  <w:abstractNum w:abstractNumId="34">
    <w:nsid w:val="626D2AE8"/>
    <w:multiLevelType w:val="multilevel"/>
    <w:tmpl w:val="418E5668"/>
    <w:lvl w:ilvl="0">
      <w:start w:val="10"/>
      <w:numFmt w:val="decimal"/>
      <w:lvlText w:val="%1"/>
      <w:lvlJc w:val="left"/>
      <w:pPr>
        <w:ind w:left="840" w:hanging="627"/>
        <w:jc w:val="left"/>
      </w:pPr>
      <w:rPr>
        <w:rFonts w:hint="default"/>
        <w:lang w:val="en-GB" w:eastAsia="en-GB" w:bidi="en-GB"/>
      </w:rPr>
    </w:lvl>
    <w:lvl w:ilvl="1">
      <w:numFmt w:val="decimal"/>
      <w:lvlText w:val="%1.%2"/>
      <w:lvlJc w:val="left"/>
      <w:pPr>
        <w:ind w:left="840" w:hanging="627"/>
        <w:jc w:val="left"/>
      </w:pPr>
      <w:rPr>
        <w:rFonts w:hint="default"/>
        <w:b/>
        <w:bCs/>
        <w:spacing w:val="-1"/>
        <w:w w:val="100"/>
        <w:lang w:val="en-GB" w:eastAsia="en-GB" w:bidi="en-GB"/>
      </w:rPr>
    </w:lvl>
    <w:lvl w:ilvl="2">
      <w:start w:val="1"/>
      <w:numFmt w:val="decimal"/>
      <w:lvlText w:val="%3)"/>
      <w:lvlJc w:val="left"/>
      <w:pPr>
        <w:ind w:left="934" w:hanging="360"/>
        <w:jc w:val="left"/>
      </w:pPr>
      <w:rPr>
        <w:rFonts w:ascii="Times New Roman" w:eastAsia="Times New Roman" w:hAnsi="Times New Roman" w:cs="Times New Roman" w:hint="default"/>
        <w:spacing w:val="-30"/>
        <w:w w:val="99"/>
        <w:sz w:val="24"/>
        <w:szCs w:val="24"/>
        <w:lang w:val="en-GB" w:eastAsia="en-GB" w:bidi="en-GB"/>
      </w:rPr>
    </w:lvl>
    <w:lvl w:ilvl="3">
      <w:numFmt w:val="bullet"/>
      <w:lvlText w:val="•"/>
      <w:lvlJc w:val="left"/>
      <w:pPr>
        <w:ind w:left="2830" w:hanging="360"/>
      </w:pPr>
      <w:rPr>
        <w:rFonts w:hint="default"/>
        <w:lang w:val="en-GB" w:eastAsia="en-GB" w:bidi="en-GB"/>
      </w:rPr>
    </w:lvl>
    <w:lvl w:ilvl="4">
      <w:numFmt w:val="bullet"/>
      <w:lvlText w:val="•"/>
      <w:lvlJc w:val="left"/>
      <w:pPr>
        <w:ind w:left="3775" w:hanging="360"/>
      </w:pPr>
      <w:rPr>
        <w:rFonts w:hint="default"/>
        <w:lang w:val="en-GB" w:eastAsia="en-GB" w:bidi="en-GB"/>
      </w:rPr>
    </w:lvl>
    <w:lvl w:ilvl="5">
      <w:numFmt w:val="bullet"/>
      <w:lvlText w:val="•"/>
      <w:lvlJc w:val="left"/>
      <w:pPr>
        <w:ind w:left="4720" w:hanging="360"/>
      </w:pPr>
      <w:rPr>
        <w:rFonts w:hint="default"/>
        <w:lang w:val="en-GB" w:eastAsia="en-GB" w:bidi="en-GB"/>
      </w:rPr>
    </w:lvl>
    <w:lvl w:ilvl="6">
      <w:numFmt w:val="bullet"/>
      <w:lvlText w:val="•"/>
      <w:lvlJc w:val="left"/>
      <w:pPr>
        <w:ind w:left="5665" w:hanging="360"/>
      </w:pPr>
      <w:rPr>
        <w:rFonts w:hint="default"/>
        <w:lang w:val="en-GB" w:eastAsia="en-GB" w:bidi="en-GB"/>
      </w:rPr>
    </w:lvl>
    <w:lvl w:ilvl="7">
      <w:numFmt w:val="bullet"/>
      <w:lvlText w:val="•"/>
      <w:lvlJc w:val="left"/>
      <w:pPr>
        <w:ind w:left="6610" w:hanging="360"/>
      </w:pPr>
      <w:rPr>
        <w:rFonts w:hint="default"/>
        <w:lang w:val="en-GB" w:eastAsia="en-GB" w:bidi="en-GB"/>
      </w:rPr>
    </w:lvl>
    <w:lvl w:ilvl="8">
      <w:numFmt w:val="bullet"/>
      <w:lvlText w:val="•"/>
      <w:lvlJc w:val="left"/>
      <w:pPr>
        <w:ind w:left="7556" w:hanging="360"/>
      </w:pPr>
      <w:rPr>
        <w:rFonts w:hint="default"/>
        <w:lang w:val="en-GB" w:eastAsia="en-GB" w:bidi="en-GB"/>
      </w:rPr>
    </w:lvl>
  </w:abstractNum>
  <w:abstractNum w:abstractNumId="35">
    <w:nsid w:val="6862382E"/>
    <w:multiLevelType w:val="multilevel"/>
    <w:tmpl w:val="68CAAAA2"/>
    <w:lvl w:ilvl="0">
      <w:start w:val="1"/>
      <w:numFmt w:val="decimal"/>
      <w:lvlText w:val="%1"/>
      <w:lvlJc w:val="left"/>
      <w:pPr>
        <w:ind w:left="516" w:hanging="403"/>
        <w:jc w:val="left"/>
      </w:pPr>
      <w:rPr>
        <w:rFonts w:hint="default"/>
        <w:lang w:val="en-GB" w:eastAsia="en-GB" w:bidi="en-GB"/>
      </w:rPr>
    </w:lvl>
    <w:lvl w:ilvl="1">
      <w:numFmt w:val="decimal"/>
      <w:lvlText w:val="%1.%2"/>
      <w:lvlJc w:val="left"/>
      <w:pPr>
        <w:ind w:left="516" w:hanging="403"/>
        <w:jc w:val="right"/>
      </w:pPr>
      <w:rPr>
        <w:rFonts w:ascii="Arial" w:eastAsia="Arial" w:hAnsi="Arial" w:cs="Arial" w:hint="default"/>
        <w:b/>
        <w:bCs/>
        <w:w w:val="99"/>
        <w:sz w:val="24"/>
        <w:szCs w:val="24"/>
        <w:lang w:val="en-GB" w:eastAsia="en-GB" w:bidi="en-GB"/>
      </w:rPr>
    </w:lvl>
    <w:lvl w:ilvl="2">
      <w:numFmt w:val="bullet"/>
      <w:lvlText w:val="•"/>
      <w:lvlJc w:val="left"/>
      <w:pPr>
        <w:ind w:left="2253" w:hanging="403"/>
      </w:pPr>
      <w:rPr>
        <w:rFonts w:hint="default"/>
        <w:lang w:val="en-GB" w:eastAsia="en-GB" w:bidi="en-GB"/>
      </w:rPr>
    </w:lvl>
    <w:lvl w:ilvl="3">
      <w:numFmt w:val="bullet"/>
      <w:lvlText w:val="•"/>
      <w:lvlJc w:val="left"/>
      <w:pPr>
        <w:ind w:left="3119" w:hanging="403"/>
      </w:pPr>
      <w:rPr>
        <w:rFonts w:hint="default"/>
        <w:lang w:val="en-GB" w:eastAsia="en-GB" w:bidi="en-GB"/>
      </w:rPr>
    </w:lvl>
    <w:lvl w:ilvl="4">
      <w:numFmt w:val="bullet"/>
      <w:lvlText w:val="•"/>
      <w:lvlJc w:val="left"/>
      <w:pPr>
        <w:ind w:left="3986" w:hanging="403"/>
      </w:pPr>
      <w:rPr>
        <w:rFonts w:hint="default"/>
        <w:lang w:val="en-GB" w:eastAsia="en-GB" w:bidi="en-GB"/>
      </w:rPr>
    </w:lvl>
    <w:lvl w:ilvl="5">
      <w:numFmt w:val="bullet"/>
      <w:lvlText w:val="•"/>
      <w:lvlJc w:val="left"/>
      <w:pPr>
        <w:ind w:left="4853" w:hanging="403"/>
      </w:pPr>
      <w:rPr>
        <w:rFonts w:hint="default"/>
        <w:lang w:val="en-GB" w:eastAsia="en-GB" w:bidi="en-GB"/>
      </w:rPr>
    </w:lvl>
    <w:lvl w:ilvl="6">
      <w:numFmt w:val="bullet"/>
      <w:lvlText w:val="•"/>
      <w:lvlJc w:val="left"/>
      <w:pPr>
        <w:ind w:left="5719" w:hanging="403"/>
      </w:pPr>
      <w:rPr>
        <w:rFonts w:hint="default"/>
        <w:lang w:val="en-GB" w:eastAsia="en-GB" w:bidi="en-GB"/>
      </w:rPr>
    </w:lvl>
    <w:lvl w:ilvl="7">
      <w:numFmt w:val="bullet"/>
      <w:lvlText w:val="•"/>
      <w:lvlJc w:val="left"/>
      <w:pPr>
        <w:ind w:left="6586" w:hanging="403"/>
      </w:pPr>
      <w:rPr>
        <w:rFonts w:hint="default"/>
        <w:lang w:val="en-GB" w:eastAsia="en-GB" w:bidi="en-GB"/>
      </w:rPr>
    </w:lvl>
    <w:lvl w:ilvl="8">
      <w:numFmt w:val="bullet"/>
      <w:lvlText w:val="•"/>
      <w:lvlJc w:val="left"/>
      <w:pPr>
        <w:ind w:left="7453" w:hanging="403"/>
      </w:pPr>
      <w:rPr>
        <w:rFonts w:hint="default"/>
        <w:lang w:val="en-GB" w:eastAsia="en-GB" w:bidi="en-GB"/>
      </w:rPr>
    </w:lvl>
  </w:abstractNum>
  <w:abstractNum w:abstractNumId="36">
    <w:nsid w:val="6C1F3BF6"/>
    <w:multiLevelType w:val="multilevel"/>
    <w:tmpl w:val="AA74A736"/>
    <w:lvl w:ilvl="0">
      <w:start w:val="11"/>
      <w:numFmt w:val="decimal"/>
      <w:lvlText w:val="%1"/>
      <w:lvlJc w:val="left"/>
      <w:pPr>
        <w:ind w:left="840" w:hanging="626"/>
        <w:jc w:val="left"/>
      </w:pPr>
      <w:rPr>
        <w:rFonts w:hint="default"/>
        <w:lang w:val="en-GB" w:eastAsia="en-GB" w:bidi="en-GB"/>
      </w:rPr>
    </w:lvl>
    <w:lvl w:ilvl="1">
      <w:numFmt w:val="decimal"/>
      <w:lvlText w:val="%1.%2"/>
      <w:lvlJc w:val="left"/>
      <w:pPr>
        <w:ind w:left="840" w:hanging="626"/>
        <w:jc w:val="left"/>
      </w:pPr>
      <w:rPr>
        <w:rFonts w:hint="default"/>
        <w:b/>
        <w:bCs/>
        <w:spacing w:val="-1"/>
        <w:w w:val="100"/>
        <w:lang w:val="en-GB" w:eastAsia="en-GB" w:bidi="en-GB"/>
      </w:rPr>
    </w:lvl>
    <w:lvl w:ilvl="2">
      <w:numFmt w:val="bullet"/>
      <w:lvlText w:val="•"/>
      <w:lvlJc w:val="left"/>
      <w:pPr>
        <w:ind w:left="2561" w:hanging="626"/>
      </w:pPr>
      <w:rPr>
        <w:rFonts w:hint="default"/>
        <w:lang w:val="en-GB" w:eastAsia="en-GB" w:bidi="en-GB"/>
      </w:rPr>
    </w:lvl>
    <w:lvl w:ilvl="3">
      <w:numFmt w:val="bullet"/>
      <w:lvlText w:val="•"/>
      <w:lvlJc w:val="left"/>
      <w:pPr>
        <w:ind w:left="3421" w:hanging="626"/>
      </w:pPr>
      <w:rPr>
        <w:rFonts w:hint="default"/>
        <w:lang w:val="en-GB" w:eastAsia="en-GB" w:bidi="en-GB"/>
      </w:rPr>
    </w:lvl>
    <w:lvl w:ilvl="4">
      <w:numFmt w:val="bullet"/>
      <w:lvlText w:val="•"/>
      <w:lvlJc w:val="left"/>
      <w:pPr>
        <w:ind w:left="4282" w:hanging="626"/>
      </w:pPr>
      <w:rPr>
        <w:rFonts w:hint="default"/>
        <w:lang w:val="en-GB" w:eastAsia="en-GB" w:bidi="en-GB"/>
      </w:rPr>
    </w:lvl>
    <w:lvl w:ilvl="5">
      <w:numFmt w:val="bullet"/>
      <w:lvlText w:val="•"/>
      <w:lvlJc w:val="left"/>
      <w:pPr>
        <w:ind w:left="5143" w:hanging="626"/>
      </w:pPr>
      <w:rPr>
        <w:rFonts w:hint="default"/>
        <w:lang w:val="en-GB" w:eastAsia="en-GB" w:bidi="en-GB"/>
      </w:rPr>
    </w:lvl>
    <w:lvl w:ilvl="6">
      <w:numFmt w:val="bullet"/>
      <w:lvlText w:val="•"/>
      <w:lvlJc w:val="left"/>
      <w:pPr>
        <w:ind w:left="6003" w:hanging="626"/>
      </w:pPr>
      <w:rPr>
        <w:rFonts w:hint="default"/>
        <w:lang w:val="en-GB" w:eastAsia="en-GB" w:bidi="en-GB"/>
      </w:rPr>
    </w:lvl>
    <w:lvl w:ilvl="7">
      <w:numFmt w:val="bullet"/>
      <w:lvlText w:val="•"/>
      <w:lvlJc w:val="left"/>
      <w:pPr>
        <w:ind w:left="6864" w:hanging="626"/>
      </w:pPr>
      <w:rPr>
        <w:rFonts w:hint="default"/>
        <w:lang w:val="en-GB" w:eastAsia="en-GB" w:bidi="en-GB"/>
      </w:rPr>
    </w:lvl>
    <w:lvl w:ilvl="8">
      <w:numFmt w:val="bullet"/>
      <w:lvlText w:val="•"/>
      <w:lvlJc w:val="left"/>
      <w:pPr>
        <w:ind w:left="7725" w:hanging="626"/>
      </w:pPr>
      <w:rPr>
        <w:rFonts w:hint="default"/>
        <w:lang w:val="en-GB" w:eastAsia="en-GB" w:bidi="en-GB"/>
      </w:rPr>
    </w:lvl>
  </w:abstractNum>
  <w:abstractNum w:abstractNumId="37">
    <w:nsid w:val="6C2461FB"/>
    <w:multiLevelType w:val="multilevel"/>
    <w:tmpl w:val="66DEAF6C"/>
    <w:lvl w:ilvl="0">
      <w:start w:val="7"/>
      <w:numFmt w:val="decimal"/>
      <w:lvlText w:val="%1"/>
      <w:lvlJc w:val="left"/>
      <w:pPr>
        <w:ind w:left="617" w:hanging="404"/>
        <w:jc w:val="left"/>
      </w:pPr>
      <w:rPr>
        <w:rFonts w:hint="default"/>
        <w:lang w:val="en-GB" w:eastAsia="en-GB" w:bidi="en-GB"/>
      </w:rPr>
    </w:lvl>
    <w:lvl w:ilvl="1">
      <w:start w:val="3"/>
      <w:numFmt w:val="decimal"/>
      <w:lvlText w:val="%1.%2"/>
      <w:lvlJc w:val="left"/>
      <w:pPr>
        <w:ind w:left="617" w:hanging="404"/>
        <w:jc w:val="left"/>
      </w:pPr>
      <w:rPr>
        <w:rFonts w:ascii="Arial" w:eastAsia="Arial" w:hAnsi="Arial" w:cs="Arial" w:hint="default"/>
        <w:b/>
        <w:bCs/>
        <w:w w:val="99"/>
        <w:sz w:val="24"/>
        <w:szCs w:val="24"/>
        <w:lang w:val="en-GB" w:eastAsia="en-GB" w:bidi="en-GB"/>
      </w:rPr>
    </w:lvl>
    <w:lvl w:ilvl="2">
      <w:numFmt w:val="bullet"/>
      <w:lvlText w:val="•"/>
      <w:lvlJc w:val="left"/>
      <w:pPr>
        <w:ind w:left="2385" w:hanging="404"/>
      </w:pPr>
      <w:rPr>
        <w:rFonts w:hint="default"/>
        <w:lang w:val="en-GB" w:eastAsia="en-GB" w:bidi="en-GB"/>
      </w:rPr>
    </w:lvl>
    <w:lvl w:ilvl="3">
      <w:numFmt w:val="bullet"/>
      <w:lvlText w:val="•"/>
      <w:lvlJc w:val="left"/>
      <w:pPr>
        <w:ind w:left="3267" w:hanging="404"/>
      </w:pPr>
      <w:rPr>
        <w:rFonts w:hint="default"/>
        <w:lang w:val="en-GB" w:eastAsia="en-GB" w:bidi="en-GB"/>
      </w:rPr>
    </w:lvl>
    <w:lvl w:ilvl="4">
      <w:numFmt w:val="bullet"/>
      <w:lvlText w:val="•"/>
      <w:lvlJc w:val="left"/>
      <w:pPr>
        <w:ind w:left="4150" w:hanging="404"/>
      </w:pPr>
      <w:rPr>
        <w:rFonts w:hint="default"/>
        <w:lang w:val="en-GB" w:eastAsia="en-GB" w:bidi="en-GB"/>
      </w:rPr>
    </w:lvl>
    <w:lvl w:ilvl="5">
      <w:numFmt w:val="bullet"/>
      <w:lvlText w:val="•"/>
      <w:lvlJc w:val="left"/>
      <w:pPr>
        <w:ind w:left="5033" w:hanging="404"/>
      </w:pPr>
      <w:rPr>
        <w:rFonts w:hint="default"/>
        <w:lang w:val="en-GB" w:eastAsia="en-GB" w:bidi="en-GB"/>
      </w:rPr>
    </w:lvl>
    <w:lvl w:ilvl="6">
      <w:numFmt w:val="bullet"/>
      <w:lvlText w:val="•"/>
      <w:lvlJc w:val="left"/>
      <w:pPr>
        <w:ind w:left="5915" w:hanging="404"/>
      </w:pPr>
      <w:rPr>
        <w:rFonts w:hint="default"/>
        <w:lang w:val="en-GB" w:eastAsia="en-GB" w:bidi="en-GB"/>
      </w:rPr>
    </w:lvl>
    <w:lvl w:ilvl="7">
      <w:numFmt w:val="bullet"/>
      <w:lvlText w:val="•"/>
      <w:lvlJc w:val="left"/>
      <w:pPr>
        <w:ind w:left="6798" w:hanging="404"/>
      </w:pPr>
      <w:rPr>
        <w:rFonts w:hint="default"/>
        <w:lang w:val="en-GB" w:eastAsia="en-GB" w:bidi="en-GB"/>
      </w:rPr>
    </w:lvl>
    <w:lvl w:ilvl="8">
      <w:numFmt w:val="bullet"/>
      <w:lvlText w:val="•"/>
      <w:lvlJc w:val="left"/>
      <w:pPr>
        <w:ind w:left="7681" w:hanging="404"/>
      </w:pPr>
      <w:rPr>
        <w:rFonts w:hint="default"/>
        <w:lang w:val="en-GB" w:eastAsia="en-GB" w:bidi="en-GB"/>
      </w:rPr>
    </w:lvl>
  </w:abstractNum>
  <w:abstractNum w:abstractNumId="38">
    <w:nsid w:val="736A0B64"/>
    <w:multiLevelType w:val="hybridMultilevel"/>
    <w:tmpl w:val="418AAB36"/>
    <w:lvl w:ilvl="0" w:tplc="E1647C9C">
      <w:start w:val="1"/>
      <w:numFmt w:val="lowerRoman"/>
      <w:lvlText w:val="%1)"/>
      <w:lvlJc w:val="left"/>
      <w:pPr>
        <w:ind w:left="214" w:hanging="240"/>
        <w:jc w:val="left"/>
      </w:pPr>
      <w:rPr>
        <w:rFonts w:ascii="Times New Roman" w:eastAsia="Times New Roman" w:hAnsi="Times New Roman" w:cs="Times New Roman" w:hint="default"/>
        <w:spacing w:val="-30"/>
        <w:w w:val="97"/>
        <w:sz w:val="24"/>
        <w:szCs w:val="24"/>
        <w:lang w:val="en-GB" w:eastAsia="en-GB" w:bidi="en-GB"/>
      </w:rPr>
    </w:lvl>
    <w:lvl w:ilvl="1" w:tplc="FCBEAE64">
      <w:numFmt w:val="bullet"/>
      <w:lvlText w:val="•"/>
      <w:lvlJc w:val="left"/>
      <w:pPr>
        <w:ind w:left="1142" w:hanging="240"/>
      </w:pPr>
      <w:rPr>
        <w:rFonts w:hint="default"/>
        <w:lang w:val="en-GB" w:eastAsia="en-GB" w:bidi="en-GB"/>
      </w:rPr>
    </w:lvl>
    <w:lvl w:ilvl="2" w:tplc="B1E880EC">
      <w:numFmt w:val="bullet"/>
      <w:lvlText w:val="•"/>
      <w:lvlJc w:val="left"/>
      <w:pPr>
        <w:ind w:left="2065" w:hanging="240"/>
      </w:pPr>
      <w:rPr>
        <w:rFonts w:hint="default"/>
        <w:lang w:val="en-GB" w:eastAsia="en-GB" w:bidi="en-GB"/>
      </w:rPr>
    </w:lvl>
    <w:lvl w:ilvl="3" w:tplc="4086B336">
      <w:numFmt w:val="bullet"/>
      <w:lvlText w:val="•"/>
      <w:lvlJc w:val="left"/>
      <w:pPr>
        <w:ind w:left="2987" w:hanging="240"/>
      </w:pPr>
      <w:rPr>
        <w:rFonts w:hint="default"/>
        <w:lang w:val="en-GB" w:eastAsia="en-GB" w:bidi="en-GB"/>
      </w:rPr>
    </w:lvl>
    <w:lvl w:ilvl="4" w:tplc="A2344BB0">
      <w:numFmt w:val="bullet"/>
      <w:lvlText w:val="•"/>
      <w:lvlJc w:val="left"/>
      <w:pPr>
        <w:ind w:left="3910" w:hanging="240"/>
      </w:pPr>
      <w:rPr>
        <w:rFonts w:hint="default"/>
        <w:lang w:val="en-GB" w:eastAsia="en-GB" w:bidi="en-GB"/>
      </w:rPr>
    </w:lvl>
    <w:lvl w:ilvl="5" w:tplc="F43095FA">
      <w:numFmt w:val="bullet"/>
      <w:lvlText w:val="•"/>
      <w:lvlJc w:val="left"/>
      <w:pPr>
        <w:ind w:left="4833" w:hanging="240"/>
      </w:pPr>
      <w:rPr>
        <w:rFonts w:hint="default"/>
        <w:lang w:val="en-GB" w:eastAsia="en-GB" w:bidi="en-GB"/>
      </w:rPr>
    </w:lvl>
    <w:lvl w:ilvl="6" w:tplc="3D9020A2">
      <w:numFmt w:val="bullet"/>
      <w:lvlText w:val="•"/>
      <w:lvlJc w:val="left"/>
      <w:pPr>
        <w:ind w:left="5755" w:hanging="240"/>
      </w:pPr>
      <w:rPr>
        <w:rFonts w:hint="default"/>
        <w:lang w:val="en-GB" w:eastAsia="en-GB" w:bidi="en-GB"/>
      </w:rPr>
    </w:lvl>
    <w:lvl w:ilvl="7" w:tplc="398888A8">
      <w:numFmt w:val="bullet"/>
      <w:lvlText w:val="•"/>
      <w:lvlJc w:val="left"/>
      <w:pPr>
        <w:ind w:left="6678" w:hanging="240"/>
      </w:pPr>
      <w:rPr>
        <w:rFonts w:hint="default"/>
        <w:lang w:val="en-GB" w:eastAsia="en-GB" w:bidi="en-GB"/>
      </w:rPr>
    </w:lvl>
    <w:lvl w:ilvl="8" w:tplc="F6C47ECC">
      <w:numFmt w:val="bullet"/>
      <w:lvlText w:val="•"/>
      <w:lvlJc w:val="left"/>
      <w:pPr>
        <w:ind w:left="7601" w:hanging="240"/>
      </w:pPr>
      <w:rPr>
        <w:rFonts w:hint="default"/>
        <w:lang w:val="en-GB" w:eastAsia="en-GB" w:bidi="en-GB"/>
      </w:rPr>
    </w:lvl>
  </w:abstractNum>
  <w:abstractNum w:abstractNumId="39">
    <w:nsid w:val="74176C86"/>
    <w:multiLevelType w:val="multilevel"/>
    <w:tmpl w:val="400ED7E2"/>
    <w:lvl w:ilvl="0">
      <w:start w:val="8"/>
      <w:numFmt w:val="decimal"/>
      <w:lvlText w:val="%1"/>
      <w:lvlJc w:val="left"/>
      <w:pPr>
        <w:ind w:left="758" w:hanging="405"/>
        <w:jc w:val="left"/>
      </w:pPr>
      <w:rPr>
        <w:rFonts w:hint="default"/>
        <w:lang w:val="en-GB" w:eastAsia="en-GB" w:bidi="en-GB"/>
      </w:rPr>
    </w:lvl>
    <w:lvl w:ilvl="1">
      <w:start w:val="1"/>
      <w:numFmt w:val="decimal"/>
      <w:lvlText w:val="%1.%2"/>
      <w:lvlJc w:val="left"/>
      <w:pPr>
        <w:ind w:left="758" w:hanging="405"/>
        <w:jc w:val="left"/>
      </w:pPr>
      <w:rPr>
        <w:rFonts w:ascii="Arial" w:eastAsia="Arial" w:hAnsi="Arial" w:cs="Arial" w:hint="default"/>
        <w:b/>
        <w:bCs/>
        <w:w w:val="99"/>
        <w:sz w:val="24"/>
        <w:szCs w:val="24"/>
        <w:lang w:val="en-GB" w:eastAsia="en-GB" w:bidi="en-GB"/>
      </w:rPr>
    </w:lvl>
    <w:lvl w:ilvl="2">
      <w:numFmt w:val="bullet"/>
      <w:lvlText w:val="•"/>
      <w:lvlJc w:val="left"/>
      <w:pPr>
        <w:ind w:left="2445" w:hanging="405"/>
      </w:pPr>
      <w:rPr>
        <w:rFonts w:hint="default"/>
        <w:lang w:val="en-GB" w:eastAsia="en-GB" w:bidi="en-GB"/>
      </w:rPr>
    </w:lvl>
    <w:lvl w:ilvl="3">
      <w:numFmt w:val="bullet"/>
      <w:lvlText w:val="•"/>
      <w:lvlJc w:val="left"/>
      <w:pPr>
        <w:ind w:left="3287" w:hanging="405"/>
      </w:pPr>
      <w:rPr>
        <w:rFonts w:hint="default"/>
        <w:lang w:val="en-GB" w:eastAsia="en-GB" w:bidi="en-GB"/>
      </w:rPr>
    </w:lvl>
    <w:lvl w:ilvl="4">
      <w:numFmt w:val="bullet"/>
      <w:lvlText w:val="•"/>
      <w:lvlJc w:val="left"/>
      <w:pPr>
        <w:ind w:left="4130" w:hanging="405"/>
      </w:pPr>
      <w:rPr>
        <w:rFonts w:hint="default"/>
        <w:lang w:val="en-GB" w:eastAsia="en-GB" w:bidi="en-GB"/>
      </w:rPr>
    </w:lvl>
    <w:lvl w:ilvl="5">
      <w:numFmt w:val="bullet"/>
      <w:lvlText w:val="•"/>
      <w:lvlJc w:val="left"/>
      <w:pPr>
        <w:ind w:left="4973" w:hanging="405"/>
      </w:pPr>
      <w:rPr>
        <w:rFonts w:hint="default"/>
        <w:lang w:val="en-GB" w:eastAsia="en-GB" w:bidi="en-GB"/>
      </w:rPr>
    </w:lvl>
    <w:lvl w:ilvl="6">
      <w:numFmt w:val="bullet"/>
      <w:lvlText w:val="•"/>
      <w:lvlJc w:val="left"/>
      <w:pPr>
        <w:ind w:left="5815" w:hanging="405"/>
      </w:pPr>
      <w:rPr>
        <w:rFonts w:hint="default"/>
        <w:lang w:val="en-GB" w:eastAsia="en-GB" w:bidi="en-GB"/>
      </w:rPr>
    </w:lvl>
    <w:lvl w:ilvl="7">
      <w:numFmt w:val="bullet"/>
      <w:lvlText w:val="•"/>
      <w:lvlJc w:val="left"/>
      <w:pPr>
        <w:ind w:left="6658" w:hanging="405"/>
      </w:pPr>
      <w:rPr>
        <w:rFonts w:hint="default"/>
        <w:lang w:val="en-GB" w:eastAsia="en-GB" w:bidi="en-GB"/>
      </w:rPr>
    </w:lvl>
    <w:lvl w:ilvl="8">
      <w:numFmt w:val="bullet"/>
      <w:lvlText w:val="•"/>
      <w:lvlJc w:val="left"/>
      <w:pPr>
        <w:ind w:left="7501" w:hanging="405"/>
      </w:pPr>
      <w:rPr>
        <w:rFonts w:hint="default"/>
        <w:lang w:val="en-GB" w:eastAsia="en-GB" w:bidi="en-GB"/>
      </w:rPr>
    </w:lvl>
  </w:abstractNum>
  <w:abstractNum w:abstractNumId="40">
    <w:nsid w:val="790B6B7F"/>
    <w:multiLevelType w:val="multilevel"/>
    <w:tmpl w:val="82DC9F38"/>
    <w:lvl w:ilvl="0">
      <w:start w:val="10"/>
      <w:numFmt w:val="decimal"/>
      <w:lvlText w:val="%1"/>
      <w:lvlJc w:val="left"/>
      <w:pPr>
        <w:ind w:left="648" w:hanging="535"/>
        <w:jc w:val="left"/>
      </w:pPr>
      <w:rPr>
        <w:rFonts w:hint="default"/>
        <w:lang w:val="en-GB" w:eastAsia="en-GB" w:bidi="en-GB"/>
      </w:rPr>
    </w:lvl>
    <w:lvl w:ilvl="1">
      <w:numFmt w:val="decimal"/>
      <w:lvlText w:val="%1.%2"/>
      <w:lvlJc w:val="left"/>
      <w:pPr>
        <w:ind w:left="648" w:hanging="535"/>
        <w:jc w:val="right"/>
      </w:pPr>
      <w:rPr>
        <w:rFonts w:ascii="Arial" w:eastAsia="Arial" w:hAnsi="Arial" w:cs="Arial" w:hint="default"/>
        <w:b/>
        <w:bCs/>
        <w:w w:val="99"/>
        <w:sz w:val="24"/>
        <w:szCs w:val="24"/>
        <w:lang w:val="en-GB" w:eastAsia="en-GB" w:bidi="en-GB"/>
      </w:rPr>
    </w:lvl>
    <w:lvl w:ilvl="2">
      <w:start w:val="1"/>
      <w:numFmt w:val="decimal"/>
      <w:lvlText w:val="%1.%2.%3"/>
      <w:lvlJc w:val="left"/>
      <w:pPr>
        <w:ind w:left="1254" w:hanging="660"/>
        <w:jc w:val="left"/>
      </w:pPr>
      <w:rPr>
        <w:rFonts w:ascii="Times New Roman" w:eastAsia="Times New Roman" w:hAnsi="Times New Roman" w:cs="Times New Roman" w:hint="default"/>
        <w:spacing w:val="-2"/>
        <w:w w:val="99"/>
        <w:sz w:val="24"/>
        <w:szCs w:val="24"/>
        <w:lang w:val="en-GB" w:eastAsia="en-GB" w:bidi="en-GB"/>
      </w:rPr>
    </w:lvl>
    <w:lvl w:ilvl="3">
      <w:numFmt w:val="bullet"/>
      <w:lvlText w:val="•"/>
      <w:lvlJc w:val="left"/>
      <w:pPr>
        <w:ind w:left="3021" w:hanging="660"/>
      </w:pPr>
      <w:rPr>
        <w:rFonts w:hint="default"/>
        <w:lang w:val="en-GB" w:eastAsia="en-GB" w:bidi="en-GB"/>
      </w:rPr>
    </w:lvl>
    <w:lvl w:ilvl="4">
      <w:numFmt w:val="bullet"/>
      <w:lvlText w:val="•"/>
      <w:lvlJc w:val="left"/>
      <w:pPr>
        <w:ind w:left="3902" w:hanging="660"/>
      </w:pPr>
      <w:rPr>
        <w:rFonts w:hint="default"/>
        <w:lang w:val="en-GB" w:eastAsia="en-GB" w:bidi="en-GB"/>
      </w:rPr>
    </w:lvl>
    <w:lvl w:ilvl="5">
      <w:numFmt w:val="bullet"/>
      <w:lvlText w:val="•"/>
      <w:lvlJc w:val="left"/>
      <w:pPr>
        <w:ind w:left="4782" w:hanging="660"/>
      </w:pPr>
      <w:rPr>
        <w:rFonts w:hint="default"/>
        <w:lang w:val="en-GB" w:eastAsia="en-GB" w:bidi="en-GB"/>
      </w:rPr>
    </w:lvl>
    <w:lvl w:ilvl="6">
      <w:numFmt w:val="bullet"/>
      <w:lvlText w:val="•"/>
      <w:lvlJc w:val="left"/>
      <w:pPr>
        <w:ind w:left="5663" w:hanging="660"/>
      </w:pPr>
      <w:rPr>
        <w:rFonts w:hint="default"/>
        <w:lang w:val="en-GB" w:eastAsia="en-GB" w:bidi="en-GB"/>
      </w:rPr>
    </w:lvl>
    <w:lvl w:ilvl="7">
      <w:numFmt w:val="bullet"/>
      <w:lvlText w:val="•"/>
      <w:lvlJc w:val="left"/>
      <w:pPr>
        <w:ind w:left="6544" w:hanging="660"/>
      </w:pPr>
      <w:rPr>
        <w:rFonts w:hint="default"/>
        <w:lang w:val="en-GB" w:eastAsia="en-GB" w:bidi="en-GB"/>
      </w:rPr>
    </w:lvl>
    <w:lvl w:ilvl="8">
      <w:numFmt w:val="bullet"/>
      <w:lvlText w:val="•"/>
      <w:lvlJc w:val="left"/>
      <w:pPr>
        <w:ind w:left="7424" w:hanging="660"/>
      </w:pPr>
      <w:rPr>
        <w:rFonts w:hint="default"/>
        <w:lang w:val="en-GB" w:eastAsia="en-GB" w:bidi="en-GB"/>
      </w:rPr>
    </w:lvl>
  </w:abstractNum>
  <w:abstractNum w:abstractNumId="41">
    <w:nsid w:val="7FF53A37"/>
    <w:multiLevelType w:val="hybridMultilevel"/>
    <w:tmpl w:val="431E5B98"/>
    <w:lvl w:ilvl="0" w:tplc="2B4A2D42">
      <w:start w:val="1"/>
      <w:numFmt w:val="decimal"/>
      <w:lvlText w:val="%1."/>
      <w:lvlJc w:val="left"/>
      <w:pPr>
        <w:ind w:left="354" w:hanging="240"/>
        <w:jc w:val="left"/>
      </w:pPr>
      <w:rPr>
        <w:rFonts w:ascii="Times New Roman" w:eastAsia="Times New Roman" w:hAnsi="Times New Roman" w:cs="Times New Roman" w:hint="default"/>
        <w:spacing w:val="-5"/>
        <w:w w:val="100"/>
        <w:sz w:val="24"/>
        <w:szCs w:val="24"/>
        <w:lang w:val="en-GB" w:eastAsia="en-GB" w:bidi="en-GB"/>
      </w:rPr>
    </w:lvl>
    <w:lvl w:ilvl="1" w:tplc="B05EBC38">
      <w:numFmt w:val="bullet"/>
      <w:lvlText w:val="•"/>
      <w:lvlJc w:val="left"/>
      <w:pPr>
        <w:ind w:left="1242" w:hanging="240"/>
      </w:pPr>
      <w:rPr>
        <w:rFonts w:hint="default"/>
        <w:lang w:val="en-GB" w:eastAsia="en-GB" w:bidi="en-GB"/>
      </w:rPr>
    </w:lvl>
    <w:lvl w:ilvl="2" w:tplc="5D6A2EF6">
      <w:numFmt w:val="bullet"/>
      <w:lvlText w:val="•"/>
      <w:lvlJc w:val="left"/>
      <w:pPr>
        <w:ind w:left="2125" w:hanging="240"/>
      </w:pPr>
      <w:rPr>
        <w:rFonts w:hint="default"/>
        <w:lang w:val="en-GB" w:eastAsia="en-GB" w:bidi="en-GB"/>
      </w:rPr>
    </w:lvl>
    <w:lvl w:ilvl="3" w:tplc="E962F930">
      <w:numFmt w:val="bullet"/>
      <w:lvlText w:val="•"/>
      <w:lvlJc w:val="left"/>
      <w:pPr>
        <w:ind w:left="3007" w:hanging="240"/>
      </w:pPr>
      <w:rPr>
        <w:rFonts w:hint="default"/>
        <w:lang w:val="en-GB" w:eastAsia="en-GB" w:bidi="en-GB"/>
      </w:rPr>
    </w:lvl>
    <w:lvl w:ilvl="4" w:tplc="37900B90">
      <w:numFmt w:val="bullet"/>
      <w:lvlText w:val="•"/>
      <w:lvlJc w:val="left"/>
      <w:pPr>
        <w:ind w:left="3890" w:hanging="240"/>
      </w:pPr>
      <w:rPr>
        <w:rFonts w:hint="default"/>
        <w:lang w:val="en-GB" w:eastAsia="en-GB" w:bidi="en-GB"/>
      </w:rPr>
    </w:lvl>
    <w:lvl w:ilvl="5" w:tplc="13585F50">
      <w:numFmt w:val="bullet"/>
      <w:lvlText w:val="•"/>
      <w:lvlJc w:val="left"/>
      <w:pPr>
        <w:ind w:left="4773" w:hanging="240"/>
      </w:pPr>
      <w:rPr>
        <w:rFonts w:hint="default"/>
        <w:lang w:val="en-GB" w:eastAsia="en-GB" w:bidi="en-GB"/>
      </w:rPr>
    </w:lvl>
    <w:lvl w:ilvl="6" w:tplc="EE725318">
      <w:numFmt w:val="bullet"/>
      <w:lvlText w:val="•"/>
      <w:lvlJc w:val="left"/>
      <w:pPr>
        <w:ind w:left="5655" w:hanging="240"/>
      </w:pPr>
      <w:rPr>
        <w:rFonts w:hint="default"/>
        <w:lang w:val="en-GB" w:eastAsia="en-GB" w:bidi="en-GB"/>
      </w:rPr>
    </w:lvl>
    <w:lvl w:ilvl="7" w:tplc="27206AA8">
      <w:numFmt w:val="bullet"/>
      <w:lvlText w:val="•"/>
      <w:lvlJc w:val="left"/>
      <w:pPr>
        <w:ind w:left="6538" w:hanging="240"/>
      </w:pPr>
      <w:rPr>
        <w:rFonts w:hint="default"/>
        <w:lang w:val="en-GB" w:eastAsia="en-GB" w:bidi="en-GB"/>
      </w:rPr>
    </w:lvl>
    <w:lvl w:ilvl="8" w:tplc="08AC08E8">
      <w:numFmt w:val="bullet"/>
      <w:lvlText w:val="•"/>
      <w:lvlJc w:val="left"/>
      <w:pPr>
        <w:ind w:left="7421" w:hanging="240"/>
      </w:pPr>
      <w:rPr>
        <w:rFonts w:hint="default"/>
        <w:lang w:val="en-GB" w:eastAsia="en-GB" w:bidi="en-GB"/>
      </w:rPr>
    </w:lvl>
  </w:abstractNum>
  <w:num w:numId="1">
    <w:abstractNumId w:val="28"/>
  </w:num>
  <w:num w:numId="2">
    <w:abstractNumId w:val="38"/>
  </w:num>
  <w:num w:numId="3">
    <w:abstractNumId w:val="33"/>
  </w:num>
  <w:num w:numId="4">
    <w:abstractNumId w:val="11"/>
  </w:num>
  <w:num w:numId="5">
    <w:abstractNumId w:val="31"/>
  </w:num>
  <w:num w:numId="6">
    <w:abstractNumId w:val="1"/>
  </w:num>
  <w:num w:numId="7">
    <w:abstractNumId w:val="17"/>
  </w:num>
  <w:num w:numId="8">
    <w:abstractNumId w:val="36"/>
  </w:num>
  <w:num w:numId="9">
    <w:abstractNumId w:val="12"/>
  </w:num>
  <w:num w:numId="10">
    <w:abstractNumId w:val="34"/>
  </w:num>
  <w:num w:numId="11">
    <w:abstractNumId w:val="23"/>
  </w:num>
  <w:num w:numId="12">
    <w:abstractNumId w:val="37"/>
  </w:num>
  <w:num w:numId="13">
    <w:abstractNumId w:val="27"/>
  </w:num>
  <w:num w:numId="14">
    <w:abstractNumId w:val="29"/>
  </w:num>
  <w:num w:numId="15">
    <w:abstractNumId w:val="14"/>
  </w:num>
  <w:num w:numId="16">
    <w:abstractNumId w:val="32"/>
  </w:num>
  <w:num w:numId="17">
    <w:abstractNumId w:val="4"/>
  </w:num>
  <w:num w:numId="18">
    <w:abstractNumId w:val="3"/>
  </w:num>
  <w:num w:numId="19">
    <w:abstractNumId w:val="2"/>
  </w:num>
  <w:num w:numId="20">
    <w:abstractNumId w:val="10"/>
  </w:num>
  <w:num w:numId="21">
    <w:abstractNumId w:val="9"/>
  </w:num>
  <w:num w:numId="22">
    <w:abstractNumId w:val="0"/>
  </w:num>
  <w:num w:numId="23">
    <w:abstractNumId w:val="25"/>
  </w:num>
  <w:num w:numId="24">
    <w:abstractNumId w:val="41"/>
  </w:num>
  <w:num w:numId="25">
    <w:abstractNumId w:val="7"/>
  </w:num>
  <w:num w:numId="26">
    <w:abstractNumId w:val="24"/>
  </w:num>
  <w:num w:numId="27">
    <w:abstractNumId w:val="18"/>
  </w:num>
  <w:num w:numId="28">
    <w:abstractNumId w:val="13"/>
  </w:num>
  <w:num w:numId="29">
    <w:abstractNumId w:val="26"/>
  </w:num>
  <w:num w:numId="30">
    <w:abstractNumId w:val="21"/>
  </w:num>
  <w:num w:numId="31">
    <w:abstractNumId w:val="5"/>
  </w:num>
  <w:num w:numId="32">
    <w:abstractNumId w:val="22"/>
  </w:num>
  <w:num w:numId="33">
    <w:abstractNumId w:val="8"/>
  </w:num>
  <w:num w:numId="34">
    <w:abstractNumId w:val="40"/>
  </w:num>
  <w:num w:numId="35">
    <w:abstractNumId w:val="39"/>
  </w:num>
  <w:num w:numId="36">
    <w:abstractNumId w:val="16"/>
  </w:num>
  <w:num w:numId="37">
    <w:abstractNumId w:val="15"/>
  </w:num>
  <w:num w:numId="38">
    <w:abstractNumId w:val="30"/>
  </w:num>
  <w:num w:numId="39">
    <w:abstractNumId w:val="6"/>
  </w:num>
  <w:num w:numId="40">
    <w:abstractNumId w:val="20"/>
  </w:num>
  <w:num w:numId="41">
    <w:abstractNumId w:val="19"/>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B0268C"/>
    <w:rsid w:val="003B5AC0"/>
    <w:rsid w:val="00B0268C"/>
    <w:rsid w:val="00C40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spacing w:before="85"/>
      <w:ind w:left="214"/>
      <w:outlineLvl w:val="0"/>
    </w:pPr>
    <w:rPr>
      <w:rFonts w:ascii="Arial" w:eastAsia="Arial" w:hAnsi="Arial" w:cs="Arial"/>
      <w:b/>
      <w:bCs/>
      <w:sz w:val="28"/>
      <w:szCs w:val="28"/>
    </w:rPr>
  </w:style>
  <w:style w:type="paragraph" w:styleId="Heading2">
    <w:name w:val="heading 2"/>
    <w:basedOn w:val="Normal"/>
    <w:uiPriority w:val="1"/>
    <w:qFormat/>
    <w:pPr>
      <w:ind w:left="516" w:hanging="403"/>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114"/>
    </w:pPr>
    <w:rPr>
      <w:rFonts w:ascii="Arial" w:eastAsia="Arial" w:hAnsi="Arial" w:cs="Arial"/>
      <w:b/>
      <w:bCs/>
      <w:sz w:val="24"/>
      <w:szCs w:val="24"/>
    </w:rPr>
  </w:style>
  <w:style w:type="paragraph" w:styleId="TOC2">
    <w:name w:val="toc 2"/>
    <w:basedOn w:val="Normal"/>
    <w:uiPriority w:val="1"/>
    <w:qFormat/>
    <w:pPr>
      <w:spacing w:before="101"/>
      <w:ind w:left="756" w:hanging="403"/>
    </w:pPr>
    <w:rPr>
      <w:rFonts w:ascii="Arial" w:eastAsia="Arial" w:hAnsi="Arial" w:cs="Arial"/>
      <w:b/>
      <w:bCs/>
      <w:sz w:val="24"/>
      <w:szCs w:val="24"/>
    </w:rPr>
  </w:style>
  <w:style w:type="paragraph" w:styleId="TOC3">
    <w:name w:val="toc 3"/>
    <w:basedOn w:val="Normal"/>
    <w:uiPriority w:val="1"/>
    <w:qFormat/>
    <w:pPr>
      <w:spacing w:before="101"/>
      <w:ind w:left="888" w:hanging="535"/>
    </w:pPr>
    <w:rPr>
      <w:rFonts w:ascii="Arial" w:eastAsia="Arial" w:hAnsi="Arial" w:cs="Arial"/>
      <w:b/>
      <w:bCs/>
      <w:i/>
    </w:rPr>
  </w:style>
  <w:style w:type="paragraph" w:styleId="TOC4">
    <w:name w:val="toc 4"/>
    <w:basedOn w:val="Normal"/>
    <w:uiPriority w:val="1"/>
    <w:qFormat/>
    <w:pPr>
      <w:spacing w:before="101"/>
      <w:ind w:left="1134" w:hanging="541"/>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56" w:hanging="403"/>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408FB"/>
    <w:rPr>
      <w:rFonts w:ascii="Tahoma" w:hAnsi="Tahoma" w:cs="Tahoma"/>
      <w:sz w:val="16"/>
      <w:szCs w:val="16"/>
    </w:rPr>
  </w:style>
  <w:style w:type="character" w:customStyle="1" w:styleId="BalloonTextChar">
    <w:name w:val="Balloon Text Char"/>
    <w:basedOn w:val="DefaultParagraphFont"/>
    <w:link w:val="BalloonText"/>
    <w:uiPriority w:val="99"/>
    <w:semiHidden/>
    <w:rsid w:val="00C408FB"/>
    <w:rPr>
      <w:rFonts w:ascii="Tahoma" w:eastAsia="Times New Roman" w:hAnsi="Tahoma" w:cs="Tahoma"/>
      <w:sz w:val="16"/>
      <w:szCs w:val="16"/>
      <w:lang w:val="en-GB" w:eastAsia="en-GB" w:bidi="en-GB"/>
    </w:rPr>
  </w:style>
  <w:style w:type="character" w:styleId="Hyperlink">
    <w:name w:val="Hyperlink"/>
    <w:basedOn w:val="DefaultParagraphFont"/>
    <w:uiPriority w:val="99"/>
    <w:unhideWhenUsed/>
    <w:rsid w:val="00C408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usan.downes@ouh.nhs.uk"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sobha.sivaprasad@nhs.net" TargetMode="External"/><Relationship Id="rId17" Type="http://schemas.openxmlformats.org/officeDocument/2006/relationships/hyperlink" Target="mailto:s.bevan@soton.ac.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aria.hassard@moorfields.nhs.uk"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evost@imperial.ac.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20asw@ctu.mrc.ac.uk%20%20%20%20" TargetMode="External"/><Relationship Id="rId23" Type="http://schemas.openxmlformats.org/officeDocument/2006/relationships/hyperlink" Target="http://www.patient.co.uk/" TargetMode="External"/><Relationship Id="rId10" Type="http://schemas.openxmlformats.org/officeDocument/2006/relationships/hyperlink" Target="mailto:joana.vasconcelos@imperial.ac.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ouh.nhs.uk"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39</Pages>
  <Words>11422</Words>
  <Characters>65107</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Moorfields Eye Hospital</Company>
  <LinksUpToDate>false</LinksUpToDate>
  <CharactersWithSpaces>76377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Toby</dc:creator>
  <cp:lastModifiedBy>PhilHykin</cp:lastModifiedBy>
  <cp:revision>2</cp:revision>
  <dcterms:created xsi:type="dcterms:W3CDTF">2020-09-08T18:26:00Z</dcterms:created>
  <dcterms:modified xsi:type="dcterms:W3CDTF">2020-09-09T18:11:00Z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2020-01-19T00:00:00Z</vt:filetime>
  </property>
  <property fmtid="{D5CDD505-2E9C-101B-9397-08002B2CF9AE}" pid="3" name="Creator">
    <vt:lpwstr>Microsoft® Word 2010</vt:lpwstr>
  </property>
  <property fmtid="{D5CDD505-2E9C-101B-9397-08002B2CF9AE}" pid="4" name="LastSaved">
    <vt:filetime>2020-09-08T00:00:00Z</vt:filetime>
  </property>
</Properties>
</file>